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97E62" w14:textId="5BC54409" w:rsidR="00950C03" w:rsidRDefault="00CF13E9" w:rsidP="00A04D99">
      <w:pPr>
        <w:jc w:val="center"/>
        <w:rPr>
          <w:rFonts w:cstheme="minorHAnsi"/>
          <w:b/>
          <w:bCs/>
        </w:rPr>
      </w:pPr>
      <w:r>
        <w:rPr>
          <w:rFonts w:cstheme="minorHAnsi"/>
          <w:b/>
          <w:bCs/>
        </w:rPr>
        <w:t>Hyperbaric</w:t>
      </w:r>
      <w:r w:rsidR="00B17EF4">
        <w:rPr>
          <w:rFonts w:cstheme="minorHAnsi"/>
          <w:b/>
          <w:bCs/>
        </w:rPr>
        <w:t xml:space="preserve"> Oxygen Treatment of </w:t>
      </w:r>
      <w:r w:rsidR="004652BF">
        <w:rPr>
          <w:rFonts w:cstheme="minorHAnsi"/>
          <w:b/>
          <w:bCs/>
        </w:rPr>
        <w:t>Traumatic Brain Injury</w:t>
      </w:r>
      <w:r w:rsidR="00A04D99" w:rsidRPr="00DB365E">
        <w:rPr>
          <w:rFonts w:cstheme="minorHAnsi"/>
          <w:b/>
          <w:bCs/>
        </w:rPr>
        <w:t>, P</w:t>
      </w:r>
      <w:r w:rsidR="004652BF">
        <w:rPr>
          <w:rFonts w:cstheme="minorHAnsi"/>
          <w:b/>
          <w:bCs/>
        </w:rPr>
        <w:t xml:space="preserve">ost </w:t>
      </w:r>
      <w:r w:rsidR="00A04D99" w:rsidRPr="00DB365E">
        <w:rPr>
          <w:rFonts w:cstheme="minorHAnsi"/>
          <w:b/>
          <w:bCs/>
        </w:rPr>
        <w:t>T</w:t>
      </w:r>
      <w:r w:rsidR="004652BF">
        <w:rPr>
          <w:rFonts w:cstheme="minorHAnsi"/>
          <w:b/>
          <w:bCs/>
        </w:rPr>
        <w:t xml:space="preserve">raumatic </w:t>
      </w:r>
      <w:r w:rsidR="00A04D99" w:rsidRPr="00DB365E">
        <w:rPr>
          <w:rFonts w:cstheme="minorHAnsi"/>
          <w:b/>
          <w:bCs/>
        </w:rPr>
        <w:t>S</w:t>
      </w:r>
      <w:r w:rsidR="004652BF">
        <w:rPr>
          <w:rFonts w:cstheme="minorHAnsi"/>
          <w:b/>
          <w:bCs/>
        </w:rPr>
        <w:t xml:space="preserve">tress </w:t>
      </w:r>
      <w:r w:rsidR="00A04D99" w:rsidRPr="00DB365E">
        <w:rPr>
          <w:rFonts w:cstheme="minorHAnsi"/>
          <w:b/>
          <w:bCs/>
        </w:rPr>
        <w:t>D</w:t>
      </w:r>
      <w:r w:rsidR="004652BF">
        <w:rPr>
          <w:rFonts w:cstheme="minorHAnsi"/>
          <w:b/>
          <w:bCs/>
        </w:rPr>
        <w:t>isorder</w:t>
      </w:r>
      <w:r w:rsidR="00B17EF4">
        <w:rPr>
          <w:rFonts w:cstheme="minorHAnsi"/>
          <w:b/>
          <w:bCs/>
        </w:rPr>
        <w:t>, and S</w:t>
      </w:r>
      <w:r w:rsidR="004652BF">
        <w:rPr>
          <w:rFonts w:cstheme="minorHAnsi"/>
          <w:b/>
          <w:bCs/>
        </w:rPr>
        <w:t xml:space="preserve">pinal </w:t>
      </w:r>
      <w:r w:rsidR="00B17EF4">
        <w:rPr>
          <w:rFonts w:cstheme="minorHAnsi"/>
          <w:b/>
          <w:bCs/>
        </w:rPr>
        <w:t>C</w:t>
      </w:r>
      <w:r w:rsidR="004652BF">
        <w:rPr>
          <w:rFonts w:cstheme="minorHAnsi"/>
          <w:b/>
          <w:bCs/>
        </w:rPr>
        <w:t xml:space="preserve">ord </w:t>
      </w:r>
      <w:r w:rsidR="00B17EF4">
        <w:rPr>
          <w:rFonts w:cstheme="minorHAnsi"/>
          <w:b/>
          <w:bCs/>
        </w:rPr>
        <w:t>I</w:t>
      </w:r>
      <w:r w:rsidR="004652BF">
        <w:rPr>
          <w:rFonts w:cstheme="minorHAnsi"/>
          <w:b/>
          <w:bCs/>
        </w:rPr>
        <w:t>njury</w:t>
      </w:r>
    </w:p>
    <w:p w14:paraId="028B7054" w14:textId="77777777" w:rsidR="004652BF" w:rsidRDefault="004652BF" w:rsidP="00A04D99">
      <w:pPr>
        <w:jc w:val="center"/>
        <w:rPr>
          <w:rFonts w:cstheme="minorHAnsi"/>
          <w:b/>
          <w:bCs/>
        </w:rPr>
      </w:pPr>
      <w:r>
        <w:rPr>
          <w:rFonts w:cstheme="minorHAnsi"/>
          <w:b/>
          <w:bCs/>
        </w:rPr>
        <w:t xml:space="preserve">Background Information </w:t>
      </w:r>
    </w:p>
    <w:p w14:paraId="2C8E416C" w14:textId="7DAA1F9B" w:rsidR="003D636B" w:rsidRPr="003D636B" w:rsidRDefault="003D636B" w:rsidP="00A04D99">
      <w:pPr>
        <w:jc w:val="center"/>
        <w:rPr>
          <w:rFonts w:cstheme="minorHAnsi"/>
        </w:rPr>
      </w:pPr>
      <w:r w:rsidRPr="003D636B">
        <w:rPr>
          <w:rFonts w:cstheme="minorHAnsi"/>
        </w:rPr>
        <w:t>James K. Wright, MD, Col, USAF (Ret)</w:t>
      </w:r>
    </w:p>
    <w:p w14:paraId="24908AAD" w14:textId="1CEF08E9" w:rsidR="00965CA7" w:rsidRPr="005E2A5A" w:rsidRDefault="00A04D99" w:rsidP="005E2A5A">
      <w:pPr>
        <w:rPr>
          <w:rFonts w:cstheme="minorHAnsi"/>
          <w:b/>
          <w:bCs/>
        </w:rPr>
      </w:pPr>
      <w:r w:rsidRPr="00DB365E">
        <w:rPr>
          <w:rFonts w:cstheme="minorHAnsi"/>
          <w:b/>
          <w:bCs/>
        </w:rPr>
        <w:tab/>
      </w:r>
      <w:r w:rsidR="00965CA7" w:rsidRPr="005E2A5A">
        <w:rPr>
          <w:rFonts w:cstheme="minorHAnsi"/>
          <w:b/>
          <w:bCs/>
        </w:rPr>
        <w:t>Introduction</w:t>
      </w:r>
    </w:p>
    <w:p w14:paraId="5824C2C6" w14:textId="4C635E42" w:rsidR="004A70CE" w:rsidRDefault="004E2B6B" w:rsidP="005E2A5A">
      <w:pPr>
        <w:pStyle w:val="ListParagraph"/>
        <w:spacing w:after="0" w:line="240" w:lineRule="auto"/>
        <w:ind w:left="0"/>
        <w:rPr>
          <w:rFonts w:cstheme="minorHAnsi"/>
        </w:rPr>
      </w:pPr>
      <w:r>
        <w:rPr>
          <w:rFonts w:cstheme="minorHAnsi"/>
        </w:rPr>
        <w:t xml:space="preserve">This presentation is about hyperbaric oxygen (HBO) and its utility in </w:t>
      </w:r>
      <w:r w:rsidR="005E2A5A">
        <w:rPr>
          <w:rFonts w:cstheme="minorHAnsi"/>
        </w:rPr>
        <w:t>treating</w:t>
      </w:r>
      <w:r>
        <w:rPr>
          <w:rFonts w:cstheme="minorHAnsi"/>
        </w:rPr>
        <w:t xml:space="preserve"> </w:t>
      </w:r>
      <w:r w:rsidR="005E2A5A">
        <w:rPr>
          <w:rFonts w:cstheme="minorHAnsi"/>
        </w:rPr>
        <w:t>traumatic</w:t>
      </w:r>
      <w:r>
        <w:rPr>
          <w:rFonts w:cstheme="minorHAnsi"/>
        </w:rPr>
        <w:t xml:space="preserve"> brain injury (TBI), </w:t>
      </w:r>
      <w:r w:rsidR="009F3717">
        <w:rPr>
          <w:rFonts w:cstheme="minorHAnsi"/>
        </w:rPr>
        <w:t>post-traumatic</w:t>
      </w:r>
      <w:r>
        <w:rPr>
          <w:rFonts w:cstheme="minorHAnsi"/>
        </w:rPr>
        <w:t xml:space="preserve"> stress disorder (PTSD), and spinal cord injury (SCI). </w:t>
      </w:r>
      <w:r w:rsidR="00A04D99" w:rsidRPr="00DB365E">
        <w:rPr>
          <w:rFonts w:cstheme="minorHAnsi"/>
        </w:rPr>
        <w:t xml:space="preserve">Hyperbaric oxygen </w:t>
      </w:r>
      <w:r w:rsidR="004652BF">
        <w:rPr>
          <w:rFonts w:cstheme="minorHAnsi"/>
        </w:rPr>
        <w:t xml:space="preserve">treatment </w:t>
      </w:r>
      <w:r w:rsidR="00A04D99" w:rsidRPr="00DB365E">
        <w:rPr>
          <w:rFonts w:cstheme="minorHAnsi"/>
        </w:rPr>
        <w:t>(HBO</w:t>
      </w:r>
      <w:r w:rsidR="004652BF">
        <w:rPr>
          <w:rFonts w:cstheme="minorHAnsi"/>
        </w:rPr>
        <w:t>T</w:t>
      </w:r>
      <w:r w:rsidR="00A04D99" w:rsidRPr="00DB365E">
        <w:rPr>
          <w:rFonts w:cstheme="minorHAnsi"/>
        </w:rPr>
        <w:t>) i</w:t>
      </w:r>
      <w:r w:rsidR="00961275">
        <w:rPr>
          <w:rFonts w:cstheme="minorHAnsi"/>
        </w:rPr>
        <w:t>s</w:t>
      </w:r>
      <w:r w:rsidR="00A04D99" w:rsidRPr="00DB365E">
        <w:rPr>
          <w:rFonts w:cstheme="minorHAnsi"/>
        </w:rPr>
        <w:t xml:space="preserve"> the delivery of 100% oxygen to a person in a pressurized chamber </w:t>
      </w:r>
      <w:r w:rsidR="00922BBB">
        <w:rPr>
          <w:rFonts w:cstheme="minorHAnsi"/>
        </w:rPr>
        <w:t xml:space="preserve">and is </w:t>
      </w:r>
      <w:r w:rsidR="00A04D99" w:rsidRPr="00DB365E">
        <w:rPr>
          <w:rFonts w:cstheme="minorHAnsi"/>
        </w:rPr>
        <w:t xml:space="preserve">used as a treatment for certain diseases and conditions.  Oxygen levels 7 to 14 times that achieved </w:t>
      </w:r>
      <w:r w:rsidR="004652BF">
        <w:rPr>
          <w:rFonts w:cstheme="minorHAnsi"/>
        </w:rPr>
        <w:t xml:space="preserve">by </w:t>
      </w:r>
      <w:r w:rsidR="00A04D99" w:rsidRPr="00DB365E">
        <w:rPr>
          <w:rFonts w:cstheme="minorHAnsi"/>
        </w:rPr>
        <w:t xml:space="preserve">breathing room air are possible.  The therapy affects more than 8100 known </w:t>
      </w:r>
      <w:r w:rsidR="005E2A5A">
        <w:rPr>
          <w:rFonts w:cstheme="minorHAnsi"/>
        </w:rPr>
        <w:t>human genes and thousands of cellular processes</w:t>
      </w:r>
      <w:r w:rsidR="004A70CE" w:rsidRPr="00DB365E">
        <w:rPr>
          <w:rStyle w:val="EndnoteReference"/>
          <w:rFonts w:cstheme="minorHAnsi"/>
        </w:rPr>
        <w:endnoteReference w:id="1"/>
      </w:r>
      <w:r w:rsidR="004A70CE" w:rsidRPr="00DB365E">
        <w:rPr>
          <w:rFonts w:cstheme="minorHAnsi"/>
        </w:rPr>
        <w:t xml:space="preserve"> and is effective in treating a variety of conditions from neurologic injury to chronic wounds.  </w:t>
      </w:r>
      <w:r w:rsidR="000735C7">
        <w:rPr>
          <w:rFonts w:cstheme="minorHAnsi"/>
        </w:rPr>
        <w:t>At the end of the discussion</w:t>
      </w:r>
      <w:r w:rsidR="004652BF">
        <w:rPr>
          <w:rFonts w:cstheme="minorHAnsi"/>
        </w:rPr>
        <w:t>,</w:t>
      </w:r>
      <w:r w:rsidR="000735C7">
        <w:rPr>
          <w:rFonts w:cstheme="minorHAnsi"/>
        </w:rPr>
        <w:t xml:space="preserve"> I will present some recommendations of how HBOT can be used to treat veterans with TBI, PTSD, and SCI.</w:t>
      </w:r>
    </w:p>
    <w:p w14:paraId="5C444086" w14:textId="77777777" w:rsidR="004A70CE" w:rsidRDefault="004A70CE" w:rsidP="005E2A5A">
      <w:pPr>
        <w:pStyle w:val="ListParagraph"/>
        <w:spacing w:after="0" w:line="240" w:lineRule="auto"/>
        <w:ind w:left="0"/>
        <w:rPr>
          <w:rFonts w:cstheme="minorHAnsi"/>
        </w:rPr>
      </w:pPr>
    </w:p>
    <w:p w14:paraId="6DD26AD6" w14:textId="77777777" w:rsidR="004652BF" w:rsidRDefault="004652BF">
      <w:pPr>
        <w:rPr>
          <w:rFonts w:cstheme="minorHAnsi"/>
          <w:b/>
          <w:bCs/>
        </w:rPr>
      </w:pPr>
      <w:r>
        <w:rPr>
          <w:rFonts w:cstheme="minorHAnsi"/>
          <w:b/>
          <w:bCs/>
        </w:rPr>
        <w:br w:type="page"/>
      </w:r>
    </w:p>
    <w:p w14:paraId="0987188F" w14:textId="52464BAF" w:rsidR="004652BF" w:rsidRDefault="004652BF" w:rsidP="00965CA7">
      <w:pPr>
        <w:pStyle w:val="ListParagraph"/>
        <w:rPr>
          <w:rFonts w:cstheme="minorHAnsi"/>
          <w:b/>
          <w:bCs/>
        </w:rPr>
      </w:pPr>
      <w:r>
        <w:rPr>
          <w:rFonts w:cstheme="minorHAnsi"/>
          <w:b/>
          <w:bCs/>
        </w:rPr>
        <w:lastRenderedPageBreak/>
        <w:t>Table of Contents</w:t>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Page</w:t>
      </w:r>
    </w:p>
    <w:p w14:paraId="49C78DF7" w14:textId="77777777" w:rsidR="00DD5C41" w:rsidRDefault="00DD5C41" w:rsidP="00DD5C41">
      <w:pPr>
        <w:pStyle w:val="ListParagraph"/>
        <w:ind w:left="1080"/>
        <w:rPr>
          <w:rFonts w:cstheme="minorHAnsi"/>
        </w:rPr>
      </w:pPr>
    </w:p>
    <w:p w14:paraId="16ECBBF8" w14:textId="408502C1" w:rsidR="004652BF" w:rsidRPr="004652BF" w:rsidRDefault="004652BF" w:rsidP="004652BF">
      <w:pPr>
        <w:pStyle w:val="ListParagraph"/>
        <w:numPr>
          <w:ilvl w:val="0"/>
          <w:numId w:val="6"/>
        </w:numPr>
        <w:rPr>
          <w:rFonts w:cstheme="minorHAnsi"/>
        </w:rPr>
      </w:pPr>
      <w:r w:rsidRPr="004652BF">
        <w:rPr>
          <w:rFonts w:cstheme="minorHAnsi"/>
        </w:rPr>
        <w:t>History of HBOT in TBI…………………………………………………</w:t>
      </w:r>
      <w:r>
        <w:rPr>
          <w:rFonts w:cstheme="minorHAnsi"/>
        </w:rPr>
        <w:t>3</w:t>
      </w:r>
    </w:p>
    <w:p w14:paraId="572BA70E" w14:textId="12A4A101" w:rsidR="004652BF" w:rsidRDefault="004652BF" w:rsidP="004652BF">
      <w:pPr>
        <w:pStyle w:val="ListParagraph"/>
        <w:numPr>
          <w:ilvl w:val="0"/>
          <w:numId w:val="6"/>
        </w:numPr>
        <w:rPr>
          <w:rFonts w:cstheme="minorHAnsi"/>
        </w:rPr>
      </w:pPr>
      <w:r>
        <w:rPr>
          <w:rFonts w:cstheme="minorHAnsi"/>
        </w:rPr>
        <w:t>How HBO Works………………………………………………………...5</w:t>
      </w:r>
    </w:p>
    <w:p w14:paraId="56039832" w14:textId="26DC48DF" w:rsidR="004652BF" w:rsidRDefault="004652BF" w:rsidP="004652BF">
      <w:pPr>
        <w:pStyle w:val="ListParagraph"/>
        <w:ind w:left="1440"/>
        <w:rPr>
          <w:rFonts w:cstheme="minorHAnsi"/>
        </w:rPr>
      </w:pPr>
      <w:r>
        <w:rPr>
          <w:rFonts w:cstheme="minorHAnsi"/>
        </w:rPr>
        <w:t>Cellular effects of HBO………………………………………………5</w:t>
      </w:r>
    </w:p>
    <w:p w14:paraId="53905C75" w14:textId="77858A04" w:rsidR="004652BF" w:rsidRDefault="004652BF" w:rsidP="004652BF">
      <w:pPr>
        <w:pStyle w:val="ListParagraph"/>
        <w:ind w:left="1440"/>
        <w:rPr>
          <w:rFonts w:cstheme="minorHAnsi"/>
        </w:rPr>
      </w:pPr>
      <w:r>
        <w:rPr>
          <w:rFonts w:cstheme="minorHAnsi"/>
        </w:rPr>
        <w:t>HBO as a provider of oxygen……………………………………</w:t>
      </w:r>
      <w:r w:rsidR="00372DA3">
        <w:rPr>
          <w:rFonts w:cstheme="minorHAnsi"/>
        </w:rPr>
        <w:t>….</w:t>
      </w:r>
      <w:r>
        <w:rPr>
          <w:rFonts w:cstheme="minorHAnsi"/>
        </w:rPr>
        <w:t>5</w:t>
      </w:r>
    </w:p>
    <w:p w14:paraId="7A52B508" w14:textId="77777777" w:rsidR="00372DA3" w:rsidRDefault="00372DA3" w:rsidP="00372DA3">
      <w:pPr>
        <w:pStyle w:val="ListParagraph"/>
        <w:ind w:left="1440"/>
        <w:rPr>
          <w:rFonts w:cstheme="minorHAnsi"/>
        </w:rPr>
      </w:pPr>
      <w:r>
        <w:rPr>
          <w:rFonts w:cstheme="minorHAnsi"/>
        </w:rPr>
        <w:t>HBO as a nerve healing agent……………………………………….6</w:t>
      </w:r>
    </w:p>
    <w:p w14:paraId="68416B69" w14:textId="7F7D904E" w:rsidR="00372DA3" w:rsidRDefault="00372DA3" w:rsidP="00372DA3">
      <w:pPr>
        <w:pStyle w:val="ListParagraph"/>
        <w:ind w:left="1440"/>
        <w:rPr>
          <w:rFonts w:cstheme="minorHAnsi"/>
        </w:rPr>
      </w:pPr>
      <w:r w:rsidRPr="00372DA3">
        <w:rPr>
          <w:rFonts w:cstheme="minorHAnsi"/>
        </w:rPr>
        <w:t>Axonal disruption in TBI, PTSD, and SCI</w:t>
      </w:r>
      <w:r>
        <w:rPr>
          <w:rFonts w:cstheme="minorHAnsi"/>
        </w:rPr>
        <w:t>………………………….6</w:t>
      </w:r>
    </w:p>
    <w:p w14:paraId="7686E4C1" w14:textId="5129677D" w:rsidR="00372DA3" w:rsidRDefault="00372DA3" w:rsidP="00372DA3">
      <w:pPr>
        <w:pStyle w:val="ListParagraph"/>
        <w:ind w:left="1440"/>
        <w:rPr>
          <w:rFonts w:cstheme="minorHAnsi"/>
        </w:rPr>
      </w:pPr>
      <w:r>
        <w:rPr>
          <w:rFonts w:cstheme="minorHAnsi"/>
        </w:rPr>
        <w:t>HBOT as an anti-inflammatory treatment………………………….7</w:t>
      </w:r>
    </w:p>
    <w:p w14:paraId="47B37A83" w14:textId="53BB88AF" w:rsidR="00372DA3" w:rsidRDefault="00372DA3" w:rsidP="00372DA3">
      <w:pPr>
        <w:pStyle w:val="ListParagraph"/>
        <w:ind w:left="1440"/>
        <w:rPr>
          <w:rFonts w:cstheme="minorHAnsi"/>
        </w:rPr>
      </w:pPr>
      <w:r>
        <w:rPr>
          <w:rFonts w:cstheme="minorHAnsi"/>
        </w:rPr>
        <w:t>Inflammation in depression………………………………………….7</w:t>
      </w:r>
    </w:p>
    <w:p w14:paraId="17468F0D" w14:textId="12E6F99F" w:rsidR="00372DA3" w:rsidRDefault="00372DA3" w:rsidP="00372DA3">
      <w:pPr>
        <w:pStyle w:val="ListParagraph"/>
        <w:ind w:left="1440"/>
        <w:rPr>
          <w:rFonts w:cstheme="minorHAnsi"/>
        </w:rPr>
      </w:pPr>
      <w:r>
        <w:rPr>
          <w:rFonts w:cstheme="minorHAnsi"/>
        </w:rPr>
        <w:t>Inflammation in PTSD………………………………………………...8</w:t>
      </w:r>
    </w:p>
    <w:p w14:paraId="316F2FA2" w14:textId="263C4FD0" w:rsidR="00372DA3" w:rsidRDefault="00372DA3" w:rsidP="00372DA3">
      <w:pPr>
        <w:pStyle w:val="ListParagraph"/>
        <w:ind w:left="1440"/>
        <w:rPr>
          <w:rFonts w:cstheme="minorHAnsi"/>
        </w:rPr>
      </w:pPr>
      <w:r>
        <w:rPr>
          <w:rFonts w:cstheme="minorHAnsi"/>
        </w:rPr>
        <w:t>Inflammation in TBI……………………………………………………8</w:t>
      </w:r>
    </w:p>
    <w:p w14:paraId="7F73D9DD" w14:textId="10346E3D" w:rsidR="00372DA3" w:rsidRDefault="00372DA3" w:rsidP="00372DA3">
      <w:pPr>
        <w:pStyle w:val="ListParagraph"/>
        <w:ind w:left="1440"/>
        <w:rPr>
          <w:rFonts w:cstheme="minorHAnsi"/>
        </w:rPr>
      </w:pPr>
      <w:r>
        <w:rPr>
          <w:rFonts w:cstheme="minorHAnsi"/>
        </w:rPr>
        <w:t>Inflammation in SCI……………………………………………………8</w:t>
      </w:r>
    </w:p>
    <w:p w14:paraId="7FB71114" w14:textId="303555F1" w:rsidR="00372DA3" w:rsidRDefault="00372DA3" w:rsidP="00372DA3">
      <w:pPr>
        <w:pStyle w:val="ListParagraph"/>
        <w:ind w:left="1440"/>
        <w:rPr>
          <w:rFonts w:cstheme="minorHAnsi"/>
        </w:rPr>
      </w:pPr>
      <w:r>
        <w:rPr>
          <w:rFonts w:cstheme="minorHAnsi"/>
        </w:rPr>
        <w:t>HBOT in pain management……………………………………………9</w:t>
      </w:r>
    </w:p>
    <w:p w14:paraId="53E9BCDA" w14:textId="54F7B60B" w:rsidR="0045314D" w:rsidRPr="0045314D" w:rsidRDefault="0045314D" w:rsidP="0045314D">
      <w:pPr>
        <w:pStyle w:val="ListParagraph"/>
        <w:numPr>
          <w:ilvl w:val="0"/>
          <w:numId w:val="6"/>
        </w:numPr>
        <w:rPr>
          <w:rFonts w:cstheme="minorHAnsi"/>
          <w:color w:val="EE0000"/>
        </w:rPr>
      </w:pPr>
      <w:r w:rsidRPr="0045314D">
        <w:rPr>
          <w:rFonts w:cstheme="minorHAnsi"/>
        </w:rPr>
        <w:t>How HBOT helps in recovery from TBI, PTSD, and SCI</w:t>
      </w:r>
      <w:r>
        <w:rPr>
          <w:rFonts w:cstheme="minorHAnsi"/>
        </w:rPr>
        <w:t>………………10</w:t>
      </w:r>
    </w:p>
    <w:p w14:paraId="784B3FDA" w14:textId="5CA533CB" w:rsidR="0045314D" w:rsidRDefault="0045314D" w:rsidP="0045314D">
      <w:pPr>
        <w:pStyle w:val="ListParagraph"/>
        <w:ind w:left="1440"/>
        <w:rPr>
          <w:rFonts w:cstheme="minorHAnsi"/>
        </w:rPr>
      </w:pPr>
      <w:r>
        <w:rPr>
          <w:rFonts w:cstheme="minorHAnsi"/>
        </w:rPr>
        <w:t>The NBIRR Study………………………………………………………10</w:t>
      </w:r>
    </w:p>
    <w:p w14:paraId="0113FD3C" w14:textId="01ACC8EF" w:rsidR="0045314D" w:rsidRDefault="0045314D" w:rsidP="0045314D">
      <w:pPr>
        <w:pStyle w:val="ListParagraph"/>
        <w:ind w:left="1440"/>
        <w:rPr>
          <w:rFonts w:cstheme="minorHAnsi"/>
        </w:rPr>
      </w:pPr>
      <w:r>
        <w:rPr>
          <w:rFonts w:cstheme="minorHAnsi"/>
        </w:rPr>
        <w:t>HBOT for spinal cord injuries…………………………………………12</w:t>
      </w:r>
    </w:p>
    <w:p w14:paraId="594DDF9F" w14:textId="3D238699" w:rsidR="00163985" w:rsidRDefault="00163985" w:rsidP="0045314D">
      <w:pPr>
        <w:pStyle w:val="ListParagraph"/>
        <w:ind w:left="1440"/>
        <w:rPr>
          <w:rFonts w:cstheme="minorHAnsi"/>
        </w:rPr>
      </w:pPr>
      <w:r>
        <w:rPr>
          <w:rFonts w:cstheme="minorHAnsi"/>
        </w:rPr>
        <w:t>HBOT as a treatment for depression………………………………</w:t>
      </w:r>
      <w:r w:rsidR="00F10AA4">
        <w:rPr>
          <w:rFonts w:cstheme="minorHAnsi"/>
        </w:rPr>
        <w:t>….</w:t>
      </w:r>
      <w:r>
        <w:rPr>
          <w:rFonts w:cstheme="minorHAnsi"/>
        </w:rPr>
        <w:t>12</w:t>
      </w:r>
    </w:p>
    <w:p w14:paraId="49325BD5" w14:textId="78F1FD6A" w:rsidR="00F10AA4" w:rsidRDefault="00F10AA4" w:rsidP="00F10AA4">
      <w:pPr>
        <w:pStyle w:val="ListParagraph"/>
        <w:numPr>
          <w:ilvl w:val="0"/>
          <w:numId w:val="6"/>
        </w:numPr>
        <w:rPr>
          <w:rFonts w:cstheme="minorHAnsi"/>
        </w:rPr>
      </w:pPr>
      <w:r>
        <w:rPr>
          <w:rFonts w:cstheme="minorHAnsi"/>
        </w:rPr>
        <w:t>Conclusions……………………………………………………………….....1</w:t>
      </w:r>
      <w:r w:rsidR="00A7005F">
        <w:rPr>
          <w:rFonts w:cstheme="minorHAnsi"/>
        </w:rPr>
        <w:t>3</w:t>
      </w:r>
    </w:p>
    <w:p w14:paraId="7D05300E" w14:textId="15CFED83" w:rsidR="00F10AA4" w:rsidRPr="00F10AA4" w:rsidRDefault="00F10AA4" w:rsidP="00F10AA4">
      <w:pPr>
        <w:pStyle w:val="ListParagraph"/>
        <w:numPr>
          <w:ilvl w:val="0"/>
          <w:numId w:val="6"/>
        </w:numPr>
        <w:rPr>
          <w:rFonts w:cstheme="minorHAnsi"/>
        </w:rPr>
      </w:pPr>
      <w:r w:rsidRPr="00F10AA4">
        <w:rPr>
          <w:rFonts w:cstheme="minorHAnsi"/>
        </w:rPr>
        <w:t>Appendices…………………………………………………………………..1</w:t>
      </w:r>
      <w:r w:rsidR="00A7005F">
        <w:rPr>
          <w:rFonts w:cstheme="minorHAnsi"/>
        </w:rPr>
        <w:t>5</w:t>
      </w:r>
    </w:p>
    <w:p w14:paraId="2474664B" w14:textId="36C61DF0" w:rsidR="00F10AA4" w:rsidRDefault="00F10AA4" w:rsidP="00F10AA4">
      <w:pPr>
        <w:pStyle w:val="ListParagraph"/>
        <w:ind w:left="1440"/>
        <w:rPr>
          <w:rFonts w:cstheme="minorHAnsi"/>
        </w:rPr>
      </w:pPr>
      <w:r>
        <w:rPr>
          <w:rFonts w:cstheme="minorHAnsi"/>
        </w:rPr>
        <w:t>Appendix 1 - Summary of studies in TBI and PTSD………………...1</w:t>
      </w:r>
      <w:r w:rsidR="00A7005F">
        <w:rPr>
          <w:rFonts w:cstheme="minorHAnsi"/>
        </w:rPr>
        <w:t>5</w:t>
      </w:r>
    </w:p>
    <w:p w14:paraId="577AC7B8" w14:textId="1F223A1E" w:rsidR="00F10AA4" w:rsidRDefault="00F10AA4" w:rsidP="00F10AA4">
      <w:pPr>
        <w:pStyle w:val="ListParagraph"/>
        <w:ind w:left="1440"/>
        <w:rPr>
          <w:rFonts w:cstheme="minorHAnsi"/>
        </w:rPr>
      </w:pPr>
      <w:r>
        <w:rPr>
          <w:rFonts w:cstheme="minorHAnsi"/>
        </w:rPr>
        <w:t>Appendix 2 – Text of the NBIRR Study Report……………………....1</w:t>
      </w:r>
      <w:r w:rsidR="00A7005F">
        <w:rPr>
          <w:rFonts w:cstheme="minorHAnsi"/>
        </w:rPr>
        <w:t>6</w:t>
      </w:r>
    </w:p>
    <w:p w14:paraId="0A36217A" w14:textId="1A1D8A86" w:rsidR="000A5B61" w:rsidRDefault="000A5B61" w:rsidP="000A5B61">
      <w:pPr>
        <w:pStyle w:val="ListParagraph"/>
        <w:numPr>
          <w:ilvl w:val="0"/>
          <w:numId w:val="6"/>
        </w:numPr>
        <w:rPr>
          <w:rFonts w:cstheme="minorHAnsi"/>
        </w:rPr>
      </w:pPr>
      <w:r>
        <w:rPr>
          <w:rFonts w:cstheme="minorHAnsi"/>
        </w:rPr>
        <w:t>References…………………………………………………………………….3</w:t>
      </w:r>
      <w:r w:rsidR="0082763F">
        <w:rPr>
          <w:rFonts w:cstheme="minorHAnsi"/>
        </w:rPr>
        <w:t>8</w:t>
      </w:r>
    </w:p>
    <w:p w14:paraId="63A4CC5B" w14:textId="77777777" w:rsidR="0045314D" w:rsidRPr="0045314D" w:rsidRDefault="0045314D" w:rsidP="0045314D">
      <w:pPr>
        <w:pStyle w:val="ListParagraph"/>
        <w:ind w:left="1440"/>
        <w:rPr>
          <w:rFonts w:cstheme="minorHAnsi"/>
        </w:rPr>
      </w:pPr>
    </w:p>
    <w:p w14:paraId="71E7E4A0" w14:textId="77777777" w:rsidR="000E15EB" w:rsidRDefault="000E15EB" w:rsidP="00372DA3">
      <w:pPr>
        <w:pStyle w:val="ListParagraph"/>
        <w:ind w:left="1440"/>
        <w:rPr>
          <w:rFonts w:cstheme="minorHAnsi"/>
        </w:rPr>
      </w:pPr>
    </w:p>
    <w:p w14:paraId="0A2B83F6" w14:textId="77777777" w:rsidR="00372DA3" w:rsidRDefault="00372DA3" w:rsidP="00372DA3">
      <w:pPr>
        <w:pStyle w:val="ListParagraph"/>
        <w:ind w:left="1440"/>
        <w:rPr>
          <w:rFonts w:cstheme="minorHAnsi"/>
        </w:rPr>
      </w:pPr>
    </w:p>
    <w:p w14:paraId="6FDA56C3" w14:textId="77777777" w:rsidR="00372DA3" w:rsidRDefault="00372DA3" w:rsidP="00372DA3">
      <w:pPr>
        <w:pStyle w:val="ListParagraph"/>
        <w:ind w:left="1440"/>
        <w:rPr>
          <w:rFonts w:cstheme="minorHAnsi"/>
        </w:rPr>
      </w:pPr>
    </w:p>
    <w:p w14:paraId="5AD1B7DC" w14:textId="77777777" w:rsidR="00372DA3" w:rsidRPr="00372DA3" w:rsidRDefault="00372DA3" w:rsidP="00372DA3">
      <w:pPr>
        <w:pStyle w:val="ListParagraph"/>
        <w:ind w:left="1440"/>
        <w:rPr>
          <w:rFonts w:cstheme="minorHAnsi"/>
        </w:rPr>
      </w:pPr>
    </w:p>
    <w:p w14:paraId="37AFA45E" w14:textId="77777777" w:rsidR="00372DA3" w:rsidRPr="00372DA3" w:rsidRDefault="00372DA3" w:rsidP="004652BF">
      <w:pPr>
        <w:pStyle w:val="ListParagraph"/>
        <w:ind w:left="1440"/>
        <w:rPr>
          <w:rFonts w:cstheme="minorHAnsi"/>
          <w:b/>
          <w:bCs/>
        </w:rPr>
      </w:pPr>
    </w:p>
    <w:p w14:paraId="2EFD96CD" w14:textId="77777777" w:rsidR="00372DA3" w:rsidRPr="004652BF" w:rsidRDefault="00372DA3" w:rsidP="004652BF">
      <w:pPr>
        <w:pStyle w:val="ListParagraph"/>
        <w:ind w:left="1440"/>
        <w:rPr>
          <w:rFonts w:cstheme="minorHAnsi"/>
        </w:rPr>
      </w:pPr>
    </w:p>
    <w:p w14:paraId="6CB2F168" w14:textId="0E644D10" w:rsidR="004A70CE" w:rsidRPr="004652BF" w:rsidRDefault="004652BF" w:rsidP="00A7005F">
      <w:pPr>
        <w:ind w:firstLine="720"/>
        <w:rPr>
          <w:rFonts w:cstheme="minorHAnsi"/>
          <w:b/>
          <w:bCs/>
        </w:rPr>
      </w:pPr>
      <w:r>
        <w:rPr>
          <w:rFonts w:cstheme="minorHAnsi"/>
          <w:b/>
          <w:bCs/>
        </w:rPr>
        <w:br w:type="page"/>
      </w:r>
      <w:r w:rsidRPr="004652BF">
        <w:rPr>
          <w:rFonts w:cstheme="minorHAnsi"/>
          <w:b/>
          <w:bCs/>
        </w:rPr>
        <w:lastRenderedPageBreak/>
        <w:t>1)</w:t>
      </w:r>
      <w:r>
        <w:rPr>
          <w:rFonts w:cstheme="minorHAnsi"/>
          <w:b/>
          <w:bCs/>
        </w:rPr>
        <w:t xml:space="preserve"> </w:t>
      </w:r>
      <w:r w:rsidR="004A70CE" w:rsidRPr="004652BF">
        <w:rPr>
          <w:rFonts w:cstheme="minorHAnsi"/>
          <w:b/>
          <w:bCs/>
        </w:rPr>
        <w:t>History of HBOT in TBI</w:t>
      </w:r>
    </w:p>
    <w:p w14:paraId="64D95865" w14:textId="64C1142D" w:rsidR="004A70CE" w:rsidRPr="00CF0A29" w:rsidRDefault="004A70CE" w:rsidP="005E2A5A">
      <w:pPr>
        <w:pStyle w:val="Default"/>
        <w:rPr>
          <w:rFonts w:ascii="Palatino Linotype" w:hAnsi="Palatino Linotype"/>
          <w:color w:val="auto"/>
        </w:rPr>
      </w:pPr>
      <w:r w:rsidRPr="00CF0A29">
        <w:rPr>
          <w:rFonts w:ascii="Palatino Linotype" w:hAnsi="Palatino Linotype"/>
          <w:color w:val="auto"/>
        </w:rPr>
        <w:t>Hyperbaric air has been used since 1877 to treat decompression illness (DCI) in which the nitrogen bubbles released from a pressurized environment such as diving or caisson work cause neurologic and other symptoms</w:t>
      </w:r>
      <w:r>
        <w:rPr>
          <w:rStyle w:val="EndnoteReference"/>
          <w:rFonts w:ascii="Palatino Linotype" w:hAnsi="Palatino Linotype"/>
          <w:color w:val="auto"/>
        </w:rPr>
        <w:endnoteReference w:id="2"/>
      </w:r>
      <w:r w:rsidRPr="00CF0A29">
        <w:rPr>
          <w:rFonts w:ascii="Palatino Linotype" w:hAnsi="Palatino Linotype"/>
          <w:color w:val="auto"/>
        </w:rPr>
        <w:t>.  It was then recognized, but not fully understood, that this use of pressurized air continued to cause improvement in symptoms long after the bubbles from nitrogen release had disappeared.</w:t>
      </w:r>
    </w:p>
    <w:p w14:paraId="0120F8BB" w14:textId="77777777" w:rsidR="004A70CE" w:rsidRPr="00CF0A29" w:rsidRDefault="004A70CE" w:rsidP="00842002">
      <w:pPr>
        <w:pStyle w:val="Default"/>
        <w:rPr>
          <w:rFonts w:ascii="Palatino Linotype" w:hAnsi="Palatino Linotype"/>
          <w:color w:val="auto"/>
        </w:rPr>
      </w:pPr>
    </w:p>
    <w:p w14:paraId="31235260" w14:textId="2B157C5F" w:rsidR="004A70CE" w:rsidRPr="005E2A5A" w:rsidRDefault="004A70CE" w:rsidP="005E2A5A">
      <w:pPr>
        <w:pStyle w:val="Default"/>
        <w:rPr>
          <w:rFonts w:ascii="Palatino Linotype" w:hAnsi="Palatino Linotype" w:cs="Arial"/>
          <w:color w:val="auto"/>
          <w:shd w:val="clear" w:color="auto" w:fill="FFFFFF"/>
        </w:rPr>
      </w:pPr>
      <w:r w:rsidRPr="005E2A5A">
        <w:rPr>
          <w:rFonts w:ascii="Palatino Linotype" w:hAnsi="Palatino Linotype" w:cstheme="minorHAnsi"/>
        </w:rPr>
        <w:t>Hyperbaric oxygen treatment (HBOT) has been used clinically for 89 years since it was first used by the US Navy to treat brain and spinal cord injuries sustained in decompression sickness</w:t>
      </w:r>
      <w:r w:rsidRPr="005E2A5A">
        <w:rPr>
          <w:rStyle w:val="EndnoteReference"/>
          <w:rFonts w:ascii="Palatino Linotype" w:hAnsi="Palatino Linotype" w:cstheme="minorHAnsi"/>
        </w:rPr>
        <w:endnoteReference w:id="3"/>
      </w:r>
      <w:r>
        <w:rPr>
          <w:rFonts w:ascii="Palatino Linotype" w:hAnsi="Palatino Linotype" w:cstheme="minorHAnsi"/>
          <w:vertAlign w:val="superscript"/>
        </w:rPr>
        <w:t>,</w:t>
      </w:r>
      <w:r>
        <w:rPr>
          <w:rStyle w:val="EndnoteReference"/>
          <w:rFonts w:ascii="Palatino Linotype" w:hAnsi="Palatino Linotype" w:cstheme="minorHAnsi"/>
        </w:rPr>
        <w:endnoteReference w:id="4"/>
      </w:r>
      <w:r w:rsidRPr="005E2A5A">
        <w:rPr>
          <w:rFonts w:ascii="Palatino Linotype" w:hAnsi="Palatino Linotype" w:cstheme="minorHAnsi"/>
        </w:rPr>
        <w:t xml:space="preserve">.  </w:t>
      </w:r>
      <w:r w:rsidRPr="005E2A5A">
        <w:rPr>
          <w:rFonts w:ascii="Palatino Linotype" w:hAnsi="Palatino Linotype" w:cs="Arial"/>
          <w:color w:val="auto"/>
          <w:shd w:val="clear" w:color="auto" w:fill="FFFFFF"/>
        </w:rPr>
        <w:t>In 1941</w:t>
      </w:r>
      <w:r w:rsidR="00D17EB4">
        <w:rPr>
          <w:rFonts w:ascii="Palatino Linotype" w:hAnsi="Palatino Linotype" w:cs="Arial"/>
          <w:color w:val="auto"/>
          <w:shd w:val="clear" w:color="auto" w:fill="FFFFFF"/>
        </w:rPr>
        <w:t>,</w:t>
      </w:r>
      <w:r w:rsidRPr="005E2A5A">
        <w:rPr>
          <w:rFonts w:ascii="Palatino Linotype" w:hAnsi="Palatino Linotype" w:cs="Arial"/>
          <w:color w:val="auto"/>
          <w:shd w:val="clear" w:color="auto" w:fill="FFFFFF"/>
        </w:rPr>
        <w:t xml:space="preserve"> HBOT was adopted by the US Army Air Force for the treatment of altitude decompression sickness</w:t>
      </w:r>
      <w:r w:rsidRPr="005E2A5A">
        <w:rPr>
          <w:rStyle w:val="EndnoteReference"/>
          <w:rFonts w:ascii="Palatino Linotype" w:eastAsiaTheme="majorEastAsia" w:hAnsi="Palatino Linotype" w:cs="Arial"/>
          <w:color w:val="auto"/>
          <w:shd w:val="clear" w:color="auto" w:fill="FFFFFF"/>
        </w:rPr>
        <w:endnoteReference w:id="5"/>
      </w:r>
      <w:r w:rsidRPr="005E2A5A">
        <w:rPr>
          <w:rFonts w:ascii="Palatino Linotype" w:hAnsi="Palatino Linotype" w:cs="Arial"/>
          <w:color w:val="auto"/>
          <w:shd w:val="clear" w:color="auto" w:fill="FFFFFF"/>
        </w:rPr>
        <w:t>.  In DCI it was noted that</w:t>
      </w:r>
      <w:r w:rsidR="00D17EB4">
        <w:rPr>
          <w:rFonts w:ascii="Palatino Linotype" w:hAnsi="Palatino Linotype" w:cs="Arial"/>
          <w:color w:val="auto"/>
          <w:shd w:val="clear" w:color="auto" w:fill="FFFFFF"/>
        </w:rPr>
        <w:t>,</w:t>
      </w:r>
      <w:r w:rsidRPr="005E2A5A">
        <w:rPr>
          <w:rFonts w:ascii="Palatino Linotype" w:hAnsi="Palatino Linotype" w:cs="Arial"/>
          <w:color w:val="auto"/>
          <w:shd w:val="clear" w:color="auto" w:fill="FFFFFF"/>
        </w:rPr>
        <w:t xml:space="preserve"> long after the supposed disappearance of nitrogen bubbles, HBOT was efficacious in treating the neurologic sequelae of DCI in the central and peripheral nervous systems</w:t>
      </w:r>
      <w:r w:rsidRPr="005E2A5A">
        <w:rPr>
          <w:rStyle w:val="EndnoteReference"/>
          <w:rFonts w:ascii="Palatino Linotype" w:eastAsiaTheme="majorEastAsia" w:hAnsi="Palatino Linotype" w:cs="Arial"/>
          <w:color w:val="auto"/>
          <w:shd w:val="clear" w:color="auto" w:fill="FFFFFF"/>
        </w:rPr>
        <w:endnoteReference w:id="6"/>
      </w:r>
      <w:r w:rsidRPr="0024384C">
        <w:rPr>
          <w:rFonts w:ascii="Palatino Linotype" w:hAnsi="Palatino Linotype" w:cs="Arial"/>
          <w:color w:val="auto"/>
          <w:shd w:val="clear" w:color="auto" w:fill="FFFFFF"/>
          <w:vertAlign w:val="superscript"/>
        </w:rPr>
        <w:t>,</w:t>
      </w:r>
      <w:r w:rsidRPr="005E2A5A">
        <w:rPr>
          <w:rStyle w:val="EndnoteReference"/>
          <w:rFonts w:ascii="Palatino Linotype" w:eastAsiaTheme="majorEastAsia" w:hAnsi="Palatino Linotype" w:cs="Arial"/>
          <w:color w:val="auto"/>
          <w:shd w:val="clear" w:color="auto" w:fill="FFFFFF"/>
        </w:rPr>
        <w:endnoteReference w:id="7"/>
      </w:r>
      <w:r w:rsidRPr="005E2A5A">
        <w:rPr>
          <w:rStyle w:val="EndnoteReference"/>
          <w:rFonts w:ascii="Palatino Linotype" w:eastAsiaTheme="majorEastAsia" w:hAnsi="Palatino Linotype" w:cs="Arial"/>
          <w:color w:val="auto"/>
          <w:shd w:val="clear" w:color="auto" w:fill="FFFFFF"/>
        </w:rPr>
        <w:endnoteReference w:id="8"/>
      </w:r>
      <w:r w:rsidRPr="005E2A5A">
        <w:rPr>
          <w:rFonts w:ascii="Palatino Linotype" w:hAnsi="Palatino Linotype" w:cs="Arial"/>
          <w:color w:val="auto"/>
          <w:shd w:val="clear" w:color="auto" w:fill="FFFFFF"/>
        </w:rPr>
        <w:t>.</w:t>
      </w:r>
    </w:p>
    <w:p w14:paraId="331C055E" w14:textId="77777777" w:rsidR="004A70CE" w:rsidRPr="005E2A5A" w:rsidRDefault="004A70CE" w:rsidP="005E2A5A">
      <w:pPr>
        <w:pStyle w:val="Default"/>
        <w:rPr>
          <w:rFonts w:ascii="Palatino Linotype" w:hAnsi="Palatino Linotype"/>
          <w:color w:val="auto"/>
        </w:rPr>
      </w:pPr>
    </w:p>
    <w:p w14:paraId="5506AE7B" w14:textId="3F5167B2" w:rsidR="004A70CE" w:rsidRPr="00CF0A29" w:rsidRDefault="004A70CE" w:rsidP="00842002">
      <w:pPr>
        <w:pStyle w:val="Default"/>
        <w:rPr>
          <w:rFonts w:ascii="Palatino Linotype" w:hAnsi="Palatino Linotype"/>
          <w:color w:val="auto"/>
        </w:rPr>
      </w:pPr>
      <w:r w:rsidRPr="00CF0A29">
        <w:rPr>
          <w:rFonts w:ascii="Palatino Linotype" w:hAnsi="Palatino Linotype"/>
          <w:color w:val="auto"/>
        </w:rPr>
        <w:t>HBOT was used in a variety of brain injuries beginning in the 1960s</w:t>
      </w:r>
      <w:r w:rsidRPr="00CF0A29">
        <w:rPr>
          <w:rStyle w:val="EndnoteReference"/>
          <w:rFonts w:ascii="Palatino Linotype" w:eastAsiaTheme="majorEastAsia" w:hAnsi="Palatino Linotype"/>
          <w:color w:val="auto"/>
        </w:rPr>
        <w:endnoteReference w:id="9"/>
      </w:r>
      <w:r w:rsidRPr="00CF0A29">
        <w:rPr>
          <w:rFonts w:ascii="Palatino Linotype" w:hAnsi="Palatino Linotype"/>
          <w:color w:val="auto"/>
          <w:vertAlign w:val="superscript"/>
        </w:rPr>
        <w:t>,</w:t>
      </w:r>
      <w:r w:rsidRPr="00CF0A29">
        <w:rPr>
          <w:rStyle w:val="EndnoteReference"/>
          <w:rFonts w:ascii="Palatino Linotype" w:eastAsiaTheme="majorEastAsia" w:hAnsi="Palatino Linotype"/>
          <w:color w:val="auto"/>
        </w:rPr>
        <w:endnoteReference w:id="10"/>
      </w:r>
      <w:r w:rsidRPr="00CF0A29">
        <w:rPr>
          <w:rFonts w:ascii="Palatino Linotype" w:hAnsi="Palatino Linotype"/>
          <w:color w:val="auto"/>
        </w:rPr>
        <w:t xml:space="preserve">.  In </w:t>
      </w:r>
      <w:r w:rsidR="008040B6">
        <w:rPr>
          <w:rFonts w:ascii="Palatino Linotype" w:hAnsi="Palatino Linotype"/>
          <w:color w:val="auto"/>
        </w:rPr>
        <w:t xml:space="preserve">Dr. </w:t>
      </w:r>
      <w:r w:rsidRPr="00CF0A29">
        <w:rPr>
          <w:rFonts w:ascii="Palatino Linotype" w:hAnsi="Palatino Linotype"/>
          <w:color w:val="auto"/>
        </w:rPr>
        <w:t>Mogami’s series of 51 patients with severe head injury treated with HBO, reported in 1969, half improved, some dramatically</w:t>
      </w:r>
      <w:r w:rsidRPr="00CF0A29">
        <w:rPr>
          <w:rStyle w:val="EndnoteReference"/>
          <w:rFonts w:ascii="Palatino Linotype" w:eastAsiaTheme="majorEastAsia" w:hAnsi="Palatino Linotype"/>
          <w:color w:val="auto"/>
        </w:rPr>
        <w:endnoteReference w:id="11"/>
      </w:r>
      <w:r w:rsidRPr="00CF0A29">
        <w:rPr>
          <w:rFonts w:ascii="Palatino Linotype" w:hAnsi="Palatino Linotype"/>
          <w:color w:val="auto"/>
        </w:rPr>
        <w:t>. The patients received only one or two treatments and most regressed, though three had permanent improvement. It wasn’t until 1985 that a US trial of HBOT in brain injury was reported</w:t>
      </w:r>
      <w:r w:rsidRPr="00CF0A29">
        <w:rPr>
          <w:rStyle w:val="EndnoteReference"/>
          <w:rFonts w:ascii="Palatino Linotype" w:eastAsiaTheme="majorEastAsia" w:hAnsi="Palatino Linotype"/>
          <w:color w:val="auto"/>
        </w:rPr>
        <w:endnoteReference w:id="12"/>
      </w:r>
      <w:r w:rsidRPr="00CF0A29">
        <w:rPr>
          <w:rFonts w:ascii="Palatino Linotype" w:hAnsi="Palatino Linotype"/>
          <w:color w:val="auto"/>
        </w:rPr>
        <w:t>. At the same time, it was recognized that the neurological sequelae of carbon monoxide poisoning which could appear after CO had been cleared were treatable with HBOT</w:t>
      </w:r>
      <w:r w:rsidRPr="00CF0A29">
        <w:rPr>
          <w:rStyle w:val="EndnoteReference"/>
          <w:rFonts w:ascii="Palatino Linotype" w:eastAsiaTheme="majorEastAsia" w:hAnsi="Palatino Linotype"/>
          <w:color w:val="auto"/>
        </w:rPr>
        <w:endnoteReference w:id="13"/>
      </w:r>
      <w:r w:rsidRPr="00CF0A29">
        <w:rPr>
          <w:rFonts w:ascii="Palatino Linotype" w:hAnsi="Palatino Linotype"/>
          <w:color w:val="auto"/>
        </w:rPr>
        <w:t xml:space="preserve">.  Successful hyperbaric oxygen treatment for </w:t>
      </w:r>
      <w:r>
        <w:rPr>
          <w:rFonts w:ascii="Palatino Linotype" w:hAnsi="Palatino Linotype"/>
          <w:color w:val="auto"/>
        </w:rPr>
        <w:t xml:space="preserve">the sequelae of </w:t>
      </w:r>
      <w:r w:rsidRPr="00CF0A29">
        <w:rPr>
          <w:rFonts w:ascii="Palatino Linotype" w:hAnsi="Palatino Linotype"/>
          <w:color w:val="auto"/>
        </w:rPr>
        <w:t>closed head was described in the English language literature by Dr. Neubauer in 1994</w:t>
      </w:r>
      <w:r w:rsidRPr="00CF0A29">
        <w:rPr>
          <w:rStyle w:val="EndnoteReference"/>
          <w:rFonts w:ascii="Palatino Linotype" w:eastAsiaTheme="majorEastAsia" w:hAnsi="Palatino Linotype" w:cs="Palatino Linotype"/>
          <w:color w:val="auto"/>
        </w:rPr>
        <w:endnoteReference w:id="14"/>
      </w:r>
      <w:r w:rsidRPr="00CF0A29">
        <w:rPr>
          <w:rFonts w:ascii="Palatino Linotype" w:hAnsi="Palatino Linotype"/>
          <w:color w:val="auto"/>
        </w:rPr>
        <w:t>.  It had been earlier described in Japanese and Russian reports.  Subsequently HBOT was used to facilitate recovery of consciousness after severe head injury</w:t>
      </w:r>
      <w:r w:rsidRPr="00CF0A29">
        <w:rPr>
          <w:rStyle w:val="EndnoteReference"/>
          <w:rFonts w:ascii="Palatino Linotype" w:eastAsiaTheme="majorEastAsia" w:hAnsi="Palatino Linotype" w:cs="Palatino Linotype"/>
          <w:color w:val="auto"/>
        </w:rPr>
        <w:endnoteReference w:id="15"/>
      </w:r>
      <w:r w:rsidRPr="00CF0A29">
        <w:rPr>
          <w:rFonts w:ascii="Palatino Linotype" w:hAnsi="Palatino Linotype"/>
          <w:color w:val="auto"/>
        </w:rPr>
        <w:t>, to facilitate recover</w:t>
      </w:r>
      <w:r>
        <w:rPr>
          <w:rFonts w:ascii="Palatino Linotype" w:hAnsi="Palatino Linotype"/>
          <w:color w:val="auto"/>
        </w:rPr>
        <w:t>y</w:t>
      </w:r>
      <w:r w:rsidRPr="00CF0A29">
        <w:rPr>
          <w:rFonts w:ascii="Palatino Linotype" w:hAnsi="Palatino Linotype"/>
          <w:color w:val="auto"/>
        </w:rPr>
        <w:t xml:space="preserve"> in long term</w:t>
      </w:r>
      <w:r>
        <w:rPr>
          <w:rFonts w:ascii="Palatino Linotype" w:hAnsi="Palatino Linotype"/>
          <w:color w:val="auto"/>
        </w:rPr>
        <w:t xml:space="preserve"> brain </w:t>
      </w:r>
      <w:r w:rsidRPr="00CF0A29">
        <w:rPr>
          <w:rFonts w:ascii="Palatino Linotype" w:hAnsi="Palatino Linotype"/>
          <w:color w:val="auto"/>
        </w:rPr>
        <w:t>injury</w:t>
      </w:r>
      <w:r w:rsidRPr="00CF0A29">
        <w:rPr>
          <w:rStyle w:val="EndnoteReference"/>
          <w:rFonts w:ascii="Palatino Linotype" w:eastAsiaTheme="majorEastAsia" w:hAnsi="Palatino Linotype" w:cs="Palatino Linotype"/>
          <w:color w:val="auto"/>
        </w:rPr>
        <w:endnoteReference w:id="16"/>
      </w:r>
      <w:r w:rsidRPr="00CF0A29">
        <w:rPr>
          <w:rFonts w:ascii="Palatino Linotype" w:hAnsi="Palatino Linotype"/>
          <w:color w:val="auto"/>
        </w:rPr>
        <w:t>, and to facilitate recovery in moderate to severe head injury</w:t>
      </w:r>
      <w:r w:rsidRPr="00CF0A29">
        <w:rPr>
          <w:rStyle w:val="EndnoteReference"/>
          <w:rFonts w:ascii="Palatino Linotype" w:eastAsiaTheme="majorEastAsia" w:hAnsi="Palatino Linotype" w:cs="Palatino Linotype"/>
          <w:color w:val="auto"/>
        </w:rPr>
        <w:endnoteReference w:id="17"/>
      </w:r>
      <w:r w:rsidRPr="00CF0A29">
        <w:rPr>
          <w:rFonts w:ascii="Palatino Linotype" w:hAnsi="Palatino Linotype"/>
          <w:color w:val="auto"/>
        </w:rPr>
        <w:t xml:space="preserve">.  A prospective randomized trial of HBOT in brain injured patients with a Glasgow Coma Score (GCS) of 9 or less showed a significant reduction in mortality (17 v. 32%) in the HBOT group, though there was no </w:t>
      </w:r>
      <w:r>
        <w:rPr>
          <w:rFonts w:ascii="Palatino Linotype" w:hAnsi="Palatino Linotype"/>
          <w:color w:val="auto"/>
        </w:rPr>
        <w:t xml:space="preserve">recognized </w:t>
      </w:r>
      <w:r w:rsidRPr="00CF0A29">
        <w:rPr>
          <w:rFonts w:ascii="Palatino Linotype" w:hAnsi="Palatino Linotype"/>
          <w:color w:val="auto"/>
        </w:rPr>
        <w:t>difference in quality of recovery in survivors</w:t>
      </w:r>
      <w:r w:rsidRPr="00CF0A29">
        <w:rPr>
          <w:rStyle w:val="EndnoteReference"/>
          <w:rFonts w:ascii="Palatino Linotype" w:eastAsiaTheme="majorEastAsia" w:hAnsi="Palatino Linotype"/>
          <w:color w:val="auto"/>
        </w:rPr>
        <w:endnoteReference w:id="18"/>
      </w:r>
      <w:r w:rsidRPr="00CF0A29">
        <w:rPr>
          <w:rFonts w:ascii="Palatino Linotype" w:hAnsi="Palatino Linotype"/>
          <w:color w:val="auto"/>
        </w:rPr>
        <w:t>.</w:t>
      </w:r>
    </w:p>
    <w:p w14:paraId="2669F608" w14:textId="7C607B86" w:rsidR="004A70CE" w:rsidRDefault="004A70CE" w:rsidP="00842002">
      <w:pPr>
        <w:pStyle w:val="Default"/>
        <w:rPr>
          <w:rFonts w:ascii="Palatino Linotype" w:eastAsia="MS PGothic" w:hAnsi="Palatino Linotype" w:cs="Palatino Linotype"/>
          <w:color w:val="auto"/>
        </w:rPr>
      </w:pPr>
    </w:p>
    <w:p w14:paraId="24393075" w14:textId="39AAE629" w:rsidR="004A70CE" w:rsidRPr="00CF0A29" w:rsidRDefault="004A70CE" w:rsidP="00842002">
      <w:r w:rsidRPr="00CF0A29">
        <w:rPr>
          <w:rFonts w:cs="Segoe UI"/>
          <w:shd w:val="clear" w:color="auto" w:fill="FFFFFF"/>
        </w:rPr>
        <w:t>In 2007 Hardy et al. reported on the beneficial use of HBOT for chronic TBI noting improvement in one case</w:t>
      </w:r>
      <w:r w:rsidRPr="00CF0A29">
        <w:rPr>
          <w:rStyle w:val="EndnoteReference"/>
          <w:rFonts w:cs="Segoe UI"/>
          <w:shd w:val="clear" w:color="auto" w:fill="FFFFFF"/>
        </w:rPr>
        <w:endnoteReference w:id="19"/>
      </w:r>
      <w:r w:rsidRPr="00CF0A29">
        <w:rPr>
          <w:rFonts w:cs="Segoe UI"/>
          <w:shd w:val="clear" w:color="auto" w:fill="FFFFFF"/>
        </w:rPr>
        <w:t>.  A controlled study from Taiwan (2007) treated 22 patients with moderately sever</w:t>
      </w:r>
      <w:r w:rsidR="00D17EB4">
        <w:rPr>
          <w:rFonts w:cs="Segoe UI"/>
          <w:shd w:val="clear" w:color="auto" w:fill="FFFFFF"/>
        </w:rPr>
        <w:t>e</w:t>
      </w:r>
      <w:r w:rsidRPr="00CF0A29">
        <w:rPr>
          <w:rFonts w:cs="Segoe UI"/>
          <w:shd w:val="clear" w:color="auto" w:fill="FFFFFF"/>
        </w:rPr>
        <w:t xml:space="preserve"> TBI with HBOT and observed significant improvement in the treatment group</w:t>
      </w:r>
      <w:r w:rsidRPr="00CF0A29">
        <w:rPr>
          <w:rStyle w:val="EndnoteReference"/>
          <w:rFonts w:cs="Segoe UI"/>
          <w:shd w:val="clear" w:color="auto" w:fill="FFFFFF"/>
        </w:rPr>
        <w:endnoteReference w:id="20"/>
      </w:r>
      <w:r w:rsidRPr="00CF0A29">
        <w:rPr>
          <w:rFonts w:cs="Segoe UI"/>
          <w:shd w:val="clear" w:color="auto" w:fill="FFFFFF"/>
        </w:rPr>
        <w:t xml:space="preserve">.  </w:t>
      </w:r>
      <w:r w:rsidRPr="00CF0A29">
        <w:t xml:space="preserve">HBOT was first used to treat active-duty military members with </w:t>
      </w:r>
      <w:r w:rsidRPr="00CF0A29">
        <w:lastRenderedPageBreak/>
        <w:t>mTBI in 2008 with complete resolution of symptoms, cancellation of medical boards, and return to full duty status</w:t>
      </w:r>
      <w:r w:rsidRPr="00CF0A29">
        <w:rPr>
          <w:rStyle w:val="EndnoteReference"/>
          <w:rFonts w:cs="Palatino Linotype"/>
        </w:rPr>
        <w:endnoteReference w:id="21"/>
      </w:r>
      <w:r w:rsidRPr="00CF0A29">
        <w:t xml:space="preserve">.  Other reports followed demonstrating improvement </w:t>
      </w:r>
      <w:r w:rsidRPr="00CF0A29">
        <w:rPr>
          <w:shd w:val="clear" w:color="auto" w:fill="FFFFFF"/>
        </w:rPr>
        <w:t>in symptoms, physical exam findings, cognitive testing, and quality-of-life measurements, with concomitant significant improvements in single photon emission computed tomography (SPECT)</w:t>
      </w:r>
      <w:r w:rsidRPr="00CF0A29">
        <w:rPr>
          <w:rStyle w:val="EndnoteReference"/>
          <w:rFonts w:cs="Palatino Linotype"/>
        </w:rPr>
        <w:endnoteReference w:id="22"/>
      </w:r>
      <w:r w:rsidRPr="00CF0A29">
        <w:rPr>
          <w:shd w:val="clear" w:color="auto" w:fill="FFFFFF"/>
        </w:rPr>
        <w:t xml:space="preserve">.  </w:t>
      </w:r>
    </w:p>
    <w:p w14:paraId="64E28D9D" w14:textId="77777777" w:rsidR="004A70CE" w:rsidRDefault="004A70CE" w:rsidP="00842002">
      <w:pPr>
        <w:pStyle w:val="Default"/>
        <w:rPr>
          <w:rFonts w:ascii="Palatino Linotype" w:eastAsia="MS PGothic" w:hAnsi="Palatino Linotype" w:cs="Palatino Linotype"/>
          <w:color w:val="auto"/>
        </w:rPr>
      </w:pPr>
    </w:p>
    <w:p w14:paraId="6CFF7638" w14:textId="511EE592" w:rsidR="004A70CE" w:rsidRDefault="004A70CE" w:rsidP="00842002">
      <w:pPr>
        <w:pStyle w:val="Default"/>
        <w:rPr>
          <w:rFonts w:ascii="Palatino Linotype" w:eastAsia="MS PGothic" w:hAnsi="Palatino Linotype" w:cs="Palatino Linotype"/>
          <w:color w:val="auto"/>
        </w:rPr>
      </w:pPr>
      <w:r w:rsidRPr="00CF0A29">
        <w:rPr>
          <w:rFonts w:ascii="Palatino Linotype" w:eastAsia="MS PGothic" w:hAnsi="Palatino Linotype" w:cs="Palatino Linotype"/>
          <w:color w:val="auto"/>
        </w:rPr>
        <w:t>HBOT was utilized in the treatment of ischemic stroke by the US Navy in 1969. In this case it was recognized that clinical improvement was associated with HBOT three months after the stroke and only occurred after HBOT</w:t>
      </w:r>
      <w:r w:rsidRPr="00CF0A29">
        <w:rPr>
          <w:rStyle w:val="EndnoteReference"/>
          <w:rFonts w:ascii="Palatino Linotype" w:eastAsia="MS PGothic" w:hAnsi="Palatino Linotype"/>
          <w:color w:val="auto"/>
        </w:rPr>
        <w:endnoteReference w:id="23"/>
      </w:r>
      <w:r w:rsidRPr="00CF0A29">
        <w:rPr>
          <w:rFonts w:ascii="Palatino Linotype" w:eastAsia="MS PGothic" w:hAnsi="Palatino Linotype" w:cs="Palatino Linotype"/>
          <w:color w:val="auto"/>
        </w:rPr>
        <w:t>. Late hypoxic injury to the brain has also been treated successfully with HBOT</w:t>
      </w:r>
      <w:r w:rsidRPr="001526A6">
        <w:rPr>
          <w:rStyle w:val="EndnoteReference"/>
          <w:rFonts w:ascii="Palatino Linotype" w:eastAsia="MS PGothic" w:hAnsi="Palatino Linotype" w:cs="Palatino Linotype"/>
          <w:color w:val="auto"/>
        </w:rPr>
        <w:endnoteReference w:id="24"/>
      </w:r>
      <w:r w:rsidRPr="001526A6">
        <w:rPr>
          <w:rFonts w:ascii="Palatino Linotype" w:eastAsia="MS PGothic" w:hAnsi="Palatino Linotype" w:cs="Palatino Linotype"/>
          <w:color w:val="auto"/>
          <w:vertAlign w:val="superscript"/>
        </w:rPr>
        <w:t>,</w:t>
      </w:r>
      <w:r w:rsidRPr="001526A6">
        <w:rPr>
          <w:rStyle w:val="EndnoteReference"/>
          <w:rFonts w:ascii="Palatino Linotype" w:eastAsia="MS PGothic" w:hAnsi="Palatino Linotype" w:cs="Palatino Linotype"/>
          <w:color w:val="auto"/>
        </w:rPr>
        <w:endnoteReference w:id="25"/>
      </w:r>
      <w:r w:rsidRPr="001526A6">
        <w:rPr>
          <w:rFonts w:ascii="Palatino Linotype" w:eastAsia="MS PGothic" w:hAnsi="Palatino Linotype" w:cs="Palatino Linotype"/>
          <w:color w:val="auto"/>
          <w:vertAlign w:val="superscript"/>
        </w:rPr>
        <w:t>,</w:t>
      </w:r>
      <w:r w:rsidRPr="00CF0A29">
        <w:rPr>
          <w:rStyle w:val="EndnoteReference"/>
          <w:rFonts w:ascii="Palatino Linotype" w:eastAsia="MS PGothic" w:hAnsi="Palatino Linotype"/>
          <w:color w:val="auto"/>
        </w:rPr>
        <w:endnoteReference w:id="26"/>
      </w:r>
      <w:r w:rsidRPr="00CF0A29">
        <w:rPr>
          <w:rFonts w:ascii="Palatino Linotype" w:eastAsia="MS PGothic" w:hAnsi="Palatino Linotype" w:cs="Palatino Linotype"/>
          <w:color w:val="auto"/>
        </w:rPr>
        <w:t xml:space="preserve">. HBOT </w:t>
      </w:r>
      <w:r w:rsidR="00BD0325">
        <w:rPr>
          <w:rFonts w:ascii="Palatino Linotype" w:eastAsia="MS PGothic" w:hAnsi="Palatino Linotype" w:cs="Palatino Linotype"/>
          <w:color w:val="auto"/>
        </w:rPr>
        <w:t xml:space="preserve">is </w:t>
      </w:r>
      <w:r w:rsidRPr="00CF0A29">
        <w:rPr>
          <w:rFonts w:ascii="Palatino Linotype" w:eastAsia="MS PGothic" w:hAnsi="Palatino Linotype" w:cs="Palatino Linotype"/>
          <w:color w:val="auto"/>
        </w:rPr>
        <w:t xml:space="preserve">an effective treatment for </w:t>
      </w:r>
      <w:r w:rsidR="00D17EB4">
        <w:rPr>
          <w:rFonts w:ascii="Palatino Linotype" w:eastAsia="MS PGothic" w:hAnsi="Palatino Linotype" w:cs="Palatino Linotype"/>
          <w:color w:val="auto"/>
        </w:rPr>
        <w:t>mild TBI (</w:t>
      </w:r>
      <w:r w:rsidRPr="00CF0A29">
        <w:rPr>
          <w:rFonts w:ascii="Palatino Linotype" w:eastAsia="MS PGothic" w:hAnsi="Palatino Linotype" w:cs="Palatino Linotype"/>
          <w:color w:val="auto"/>
        </w:rPr>
        <w:t>mTBI</w:t>
      </w:r>
      <w:r w:rsidR="00D17EB4">
        <w:rPr>
          <w:rFonts w:ascii="Palatino Linotype" w:eastAsia="MS PGothic" w:hAnsi="Palatino Linotype" w:cs="Palatino Linotype"/>
          <w:color w:val="auto"/>
        </w:rPr>
        <w:t>)</w:t>
      </w:r>
      <w:r w:rsidRPr="00CF0A29">
        <w:rPr>
          <w:rFonts w:ascii="Palatino Linotype" w:eastAsia="MS PGothic" w:hAnsi="Palatino Linotype" w:cs="Palatino Linotype"/>
          <w:color w:val="auto"/>
        </w:rPr>
        <w:t xml:space="preserve"> resulting in improved brain function, neurocognitive scores, and quality of life years after injury</w:t>
      </w:r>
      <w:r w:rsidRPr="00CF0A29">
        <w:rPr>
          <w:rStyle w:val="EndnoteReference"/>
          <w:rFonts w:ascii="Palatino Linotype" w:eastAsia="MS PGothic" w:hAnsi="Palatino Linotype"/>
          <w:color w:val="auto"/>
        </w:rPr>
        <w:endnoteReference w:id="27"/>
      </w:r>
      <w:r w:rsidRPr="00CF0A29">
        <w:rPr>
          <w:rFonts w:ascii="Palatino Linotype" w:eastAsia="MS PGothic" w:hAnsi="Palatino Linotype" w:cs="Palatino Linotype"/>
          <w:color w:val="auto"/>
          <w:vertAlign w:val="superscript"/>
        </w:rPr>
        <w:t>,</w:t>
      </w:r>
      <w:r w:rsidRPr="00CF0A29">
        <w:rPr>
          <w:rStyle w:val="EndnoteReference"/>
          <w:rFonts w:ascii="Palatino Linotype" w:eastAsia="MS PGothic" w:hAnsi="Palatino Linotype"/>
          <w:color w:val="auto"/>
        </w:rPr>
        <w:endnoteReference w:id="28"/>
      </w:r>
      <w:r w:rsidRPr="00CF0A29">
        <w:rPr>
          <w:rFonts w:ascii="Palatino Linotype" w:eastAsia="MS PGothic" w:hAnsi="Palatino Linotype" w:cs="Palatino Linotype"/>
          <w:color w:val="auto"/>
          <w:vertAlign w:val="superscript"/>
        </w:rPr>
        <w:t>,</w:t>
      </w:r>
      <w:r w:rsidRPr="00CF0A29">
        <w:rPr>
          <w:rStyle w:val="EndnoteReference"/>
          <w:rFonts w:ascii="Palatino Linotype" w:eastAsia="MS PGothic" w:hAnsi="Palatino Linotype"/>
          <w:color w:val="auto"/>
        </w:rPr>
        <w:endnoteReference w:id="29"/>
      </w:r>
      <w:r w:rsidRPr="00CF0A29">
        <w:rPr>
          <w:rFonts w:ascii="Palatino Linotype" w:eastAsia="MS PGothic" w:hAnsi="Palatino Linotype" w:cs="Palatino Linotype"/>
          <w:color w:val="auto"/>
          <w:vertAlign w:val="superscript"/>
        </w:rPr>
        <w:t>,</w:t>
      </w:r>
      <w:r w:rsidRPr="00CF0A29">
        <w:rPr>
          <w:rStyle w:val="EndnoteReference"/>
          <w:rFonts w:ascii="Palatino Linotype" w:eastAsia="MS PGothic" w:hAnsi="Palatino Linotype"/>
          <w:color w:val="auto"/>
        </w:rPr>
        <w:endnoteReference w:id="30"/>
      </w:r>
      <w:r w:rsidRPr="00CF0A29">
        <w:rPr>
          <w:rFonts w:ascii="Palatino Linotype" w:eastAsia="MS PGothic" w:hAnsi="Palatino Linotype" w:cs="Palatino Linotype"/>
          <w:color w:val="auto"/>
        </w:rPr>
        <w:t xml:space="preserve">.  An early </w:t>
      </w:r>
      <w:r w:rsidR="00D17EB4">
        <w:rPr>
          <w:rFonts w:ascii="Palatino Linotype" w:eastAsia="MS PGothic" w:hAnsi="Palatino Linotype" w:cs="Palatino Linotype"/>
          <w:color w:val="auto"/>
        </w:rPr>
        <w:t>Department of Defense (</w:t>
      </w:r>
      <w:r w:rsidRPr="00CF0A29">
        <w:rPr>
          <w:rFonts w:ascii="Palatino Linotype" w:eastAsia="MS PGothic" w:hAnsi="Palatino Linotype" w:cs="Palatino Linotype"/>
          <w:color w:val="auto"/>
        </w:rPr>
        <w:t>DoD</w:t>
      </w:r>
      <w:r w:rsidR="00D17EB4">
        <w:rPr>
          <w:rFonts w:ascii="Palatino Linotype" w:eastAsia="MS PGothic" w:hAnsi="Palatino Linotype" w:cs="Palatino Linotype"/>
          <w:color w:val="auto"/>
        </w:rPr>
        <w:t>)</w:t>
      </w:r>
      <w:r w:rsidRPr="00CF0A29">
        <w:rPr>
          <w:rFonts w:ascii="Palatino Linotype" w:eastAsia="MS PGothic" w:hAnsi="Palatino Linotype" w:cs="Palatino Linotype"/>
          <w:color w:val="auto"/>
        </w:rPr>
        <w:t xml:space="preserve"> sponsored study of HBOT used on participants with </w:t>
      </w:r>
      <w:r>
        <w:rPr>
          <w:rFonts w:ascii="Palatino Linotype" w:eastAsia="MS PGothic" w:hAnsi="Palatino Linotype" w:cs="Palatino Linotype"/>
          <w:color w:val="auto"/>
        </w:rPr>
        <w:t>post-concussive syndrome (</w:t>
      </w:r>
      <w:r w:rsidRPr="00CF0A29">
        <w:rPr>
          <w:rFonts w:ascii="Palatino Linotype" w:eastAsia="MS PGothic" w:hAnsi="Palatino Linotype" w:cs="Palatino Linotype"/>
          <w:color w:val="auto"/>
        </w:rPr>
        <w:t>PCS</w:t>
      </w:r>
      <w:r>
        <w:rPr>
          <w:rFonts w:ascii="Palatino Linotype" w:eastAsia="MS PGothic" w:hAnsi="Palatino Linotype" w:cs="Palatino Linotype"/>
          <w:color w:val="auto"/>
        </w:rPr>
        <w:t>)</w:t>
      </w:r>
      <w:r w:rsidRPr="00CF0A29">
        <w:rPr>
          <w:rFonts w:ascii="Palatino Linotype" w:eastAsia="MS PGothic" w:hAnsi="Palatino Linotype" w:cs="Palatino Linotype"/>
          <w:color w:val="auto"/>
        </w:rPr>
        <w:t xml:space="preserve"> concluded "...</w:t>
      </w:r>
      <w:r w:rsidRPr="00CF0A29">
        <w:rPr>
          <w:rFonts w:ascii="Palatino Linotype" w:hAnsi="Palatino Linotype" w:cs="Palatino Linotype"/>
          <w:color w:val="auto"/>
          <w:shd w:val="clear" w:color="auto" w:fill="FFFFFF"/>
        </w:rPr>
        <w:t xml:space="preserve"> HBO showed no benefits over sham compressions. Both intervention groups demonstrated improved outcomes compared with PCS care alone.</w:t>
      </w:r>
      <w:r w:rsidR="004652BF">
        <w:rPr>
          <w:rFonts w:ascii="Palatino Linotype" w:hAnsi="Palatino Linotype" w:cs="Palatino Linotype"/>
          <w:color w:val="auto"/>
          <w:shd w:val="clear" w:color="auto" w:fill="FFFFFF"/>
        </w:rPr>
        <w:t>.</w:t>
      </w:r>
      <w:r w:rsidRPr="00CF0A29">
        <w:rPr>
          <w:rFonts w:ascii="Palatino Linotype" w:hAnsi="Palatino Linotype" w:cs="Palatino Linotype"/>
          <w:color w:val="auto"/>
          <w:shd w:val="clear" w:color="auto" w:fill="FFFFFF"/>
        </w:rPr>
        <w:t xml:space="preserve">." </w:t>
      </w:r>
      <w:r w:rsidR="00BD0325">
        <w:rPr>
          <w:rFonts w:ascii="Palatino Linotype" w:hAnsi="Palatino Linotype" w:cs="Palatino Linotype"/>
          <w:color w:val="auto"/>
          <w:shd w:val="clear" w:color="auto" w:fill="FFFFFF"/>
        </w:rPr>
        <w:t xml:space="preserve"> However, r</w:t>
      </w:r>
      <w:r w:rsidRPr="00CF0A29">
        <w:rPr>
          <w:rFonts w:ascii="Palatino Linotype" w:eastAsia="MS PGothic" w:hAnsi="Palatino Linotype" w:cs="Palatino Linotype"/>
          <w:color w:val="auto"/>
        </w:rPr>
        <w:t>e-analysis of DoD studies which used pressurized air as a "sham" treatment showed a consistent treatment effect of pressurized air on mTBI</w:t>
      </w:r>
      <w:r w:rsidRPr="00CF0A29">
        <w:rPr>
          <w:rStyle w:val="EndnoteReference"/>
          <w:rFonts w:ascii="Palatino Linotype" w:eastAsia="MS PGothic" w:hAnsi="Palatino Linotype"/>
          <w:color w:val="auto"/>
        </w:rPr>
        <w:endnoteReference w:id="31"/>
      </w:r>
      <w:r w:rsidRPr="00CF0A29">
        <w:rPr>
          <w:rFonts w:ascii="Palatino Linotype" w:eastAsia="MS PGothic" w:hAnsi="Palatino Linotype" w:cs="Palatino Linotype"/>
          <w:color w:val="auto"/>
        </w:rPr>
        <w:t xml:space="preserve">. </w:t>
      </w:r>
      <w:r>
        <w:rPr>
          <w:rFonts w:ascii="Palatino Linotype" w:eastAsia="MS PGothic" w:hAnsi="Palatino Linotype" w:cs="Palatino Linotype"/>
          <w:color w:val="auto"/>
        </w:rPr>
        <w:t xml:space="preserve">This perhaps should not be surprising since pressurized air was used as a treatment </w:t>
      </w:r>
      <w:r w:rsidR="00A94B7C">
        <w:rPr>
          <w:rFonts w:ascii="Palatino Linotype" w:eastAsia="MS PGothic" w:hAnsi="Palatino Linotype" w:cs="Palatino Linotype"/>
          <w:color w:val="auto"/>
        </w:rPr>
        <w:t xml:space="preserve">with known efficacy </w:t>
      </w:r>
      <w:r>
        <w:rPr>
          <w:rFonts w:ascii="Palatino Linotype" w:eastAsia="MS PGothic" w:hAnsi="Palatino Linotype" w:cs="Palatino Linotype"/>
          <w:color w:val="auto"/>
        </w:rPr>
        <w:t xml:space="preserve">for lingering effects of DCS dating back to the </w:t>
      </w:r>
      <w:r w:rsidR="00BD0325">
        <w:rPr>
          <w:rFonts w:ascii="Palatino Linotype" w:eastAsia="MS PGothic" w:hAnsi="Palatino Linotype" w:cs="Palatino Linotype"/>
          <w:color w:val="auto"/>
        </w:rPr>
        <w:t xml:space="preserve">late </w:t>
      </w:r>
      <w:r>
        <w:rPr>
          <w:rFonts w:ascii="Palatino Linotype" w:eastAsia="MS PGothic" w:hAnsi="Palatino Linotype" w:cs="Palatino Linotype"/>
          <w:color w:val="auto"/>
        </w:rPr>
        <w:t xml:space="preserve">1800s.  </w:t>
      </w:r>
    </w:p>
    <w:p w14:paraId="54320C0E" w14:textId="77777777" w:rsidR="004A70CE" w:rsidRDefault="004A70CE" w:rsidP="00842002">
      <w:pPr>
        <w:pStyle w:val="Default"/>
        <w:rPr>
          <w:rFonts w:ascii="Palatino Linotype" w:eastAsia="MS PGothic" w:hAnsi="Palatino Linotype" w:cs="Palatino Linotype"/>
          <w:color w:val="auto"/>
        </w:rPr>
      </w:pPr>
    </w:p>
    <w:p w14:paraId="67BDE423" w14:textId="6DEA5303" w:rsidR="004A70CE" w:rsidRPr="00CF0A29" w:rsidRDefault="00BD0325" w:rsidP="00842002">
      <w:pPr>
        <w:pStyle w:val="Default"/>
        <w:rPr>
          <w:rFonts w:ascii="Palatino Linotype" w:eastAsia="MS PGothic" w:hAnsi="Palatino Linotype"/>
          <w:color w:val="auto"/>
        </w:rPr>
      </w:pPr>
      <w:r>
        <w:rPr>
          <w:rFonts w:ascii="Palatino Linotype" w:eastAsia="MS PGothic" w:hAnsi="Palatino Linotype" w:cs="Palatino Linotype"/>
          <w:color w:val="auto"/>
        </w:rPr>
        <w:t xml:space="preserve">The </w:t>
      </w:r>
      <w:r w:rsidR="004A70CE" w:rsidRPr="00CF0A29">
        <w:rPr>
          <w:rFonts w:ascii="Palatino Linotype" w:eastAsia="MS PGothic" w:hAnsi="Palatino Linotype" w:cs="Palatino Linotype"/>
          <w:color w:val="auto"/>
        </w:rPr>
        <w:t>D</w:t>
      </w:r>
      <w:r w:rsidR="00D17EB4">
        <w:rPr>
          <w:rFonts w:ascii="Palatino Linotype" w:eastAsia="MS PGothic" w:hAnsi="Palatino Linotype" w:cs="Palatino Linotype"/>
          <w:color w:val="auto"/>
        </w:rPr>
        <w:t>oD</w:t>
      </w:r>
      <w:r w:rsidR="004A70CE" w:rsidRPr="00CF0A29">
        <w:rPr>
          <w:rFonts w:ascii="Palatino Linotype" w:eastAsia="MS PGothic" w:hAnsi="Palatino Linotype" w:cs="Palatino Linotype"/>
          <w:color w:val="auto"/>
        </w:rPr>
        <w:t xml:space="preserve"> sponsored studies </w:t>
      </w:r>
      <w:r>
        <w:rPr>
          <w:rFonts w:ascii="Palatino Linotype" w:eastAsia="MS PGothic" w:hAnsi="Palatino Linotype" w:cs="Palatino Linotype"/>
          <w:color w:val="auto"/>
        </w:rPr>
        <w:t>showed</w:t>
      </w:r>
      <w:r w:rsidR="004A70CE" w:rsidRPr="00CF0A29">
        <w:rPr>
          <w:rFonts w:ascii="Palatino Linotype" w:eastAsia="MS PGothic" w:hAnsi="Palatino Linotype" w:cs="Palatino Linotype"/>
          <w:color w:val="auto"/>
        </w:rPr>
        <w:t xml:space="preserve"> a dose response effect using HBOT to alleviate symptoms of mTBI, PCS, and PTSD</w:t>
      </w:r>
      <w:r w:rsidR="004A70CE" w:rsidRPr="00CF0A29">
        <w:rPr>
          <w:rStyle w:val="EndnoteReference"/>
          <w:rFonts w:ascii="Palatino Linotype" w:eastAsia="MS PGothic" w:hAnsi="Palatino Linotype"/>
          <w:color w:val="auto"/>
        </w:rPr>
        <w:endnoteReference w:id="32"/>
      </w:r>
      <w:r w:rsidR="004A70CE" w:rsidRPr="00CF0A29">
        <w:rPr>
          <w:rFonts w:ascii="Palatino Linotype" w:eastAsia="MS PGothic" w:hAnsi="Palatino Linotype" w:cs="Palatino Linotype"/>
          <w:color w:val="auto"/>
        </w:rPr>
        <w:t xml:space="preserve">.  When compared to control groups, individuals with TBI treated with HBOT </w:t>
      </w:r>
      <w:r>
        <w:rPr>
          <w:rFonts w:ascii="Palatino Linotype" w:eastAsia="MS PGothic" w:hAnsi="Palatino Linotype" w:cs="Palatino Linotype"/>
          <w:color w:val="auto"/>
        </w:rPr>
        <w:t>experienced</w:t>
      </w:r>
      <w:r w:rsidR="004A70CE" w:rsidRPr="00CF0A29">
        <w:rPr>
          <w:rFonts w:ascii="Palatino Linotype" w:eastAsia="MS PGothic" w:hAnsi="Palatino Linotype" w:cs="Palatino Linotype"/>
          <w:color w:val="auto"/>
        </w:rPr>
        <w:t xml:space="preserve"> significant clinical improvement</w:t>
      </w:r>
      <w:r w:rsidR="004A70CE" w:rsidRPr="00CF0A29">
        <w:rPr>
          <w:rStyle w:val="EndnoteReference"/>
          <w:rFonts w:ascii="Palatino Linotype" w:eastAsia="MS PGothic" w:hAnsi="Palatino Linotype"/>
          <w:color w:val="auto"/>
        </w:rPr>
        <w:endnoteReference w:id="33"/>
      </w:r>
      <w:r w:rsidR="004A70CE" w:rsidRPr="00CF0A29">
        <w:rPr>
          <w:rFonts w:ascii="Palatino Linotype" w:eastAsia="MS PGothic" w:hAnsi="Palatino Linotype" w:cs="Palatino Linotype"/>
          <w:color w:val="auto"/>
        </w:rPr>
        <w:t>.  In a randomized controlled study of 50 military members with TBI, Dr. Wolf et al. demonstrated improvement in testing scores of the HBOT and sham compressed air groups</w:t>
      </w:r>
      <w:r w:rsidR="004A70CE" w:rsidRPr="00CF0A29">
        <w:rPr>
          <w:rStyle w:val="EndnoteReference"/>
          <w:rFonts w:ascii="Palatino Linotype" w:eastAsia="MS PGothic" w:hAnsi="Palatino Linotype"/>
          <w:color w:val="auto"/>
        </w:rPr>
        <w:endnoteReference w:id="34"/>
      </w:r>
      <w:r w:rsidR="004A70CE" w:rsidRPr="00CF0A29">
        <w:rPr>
          <w:rFonts w:ascii="Palatino Linotype" w:eastAsia="MS PGothic" w:hAnsi="Palatino Linotype" w:cs="Palatino Linotype"/>
          <w:color w:val="auto"/>
        </w:rPr>
        <w:t>, as well as the safety of HBOT</w:t>
      </w:r>
      <w:r w:rsidR="004A70CE" w:rsidRPr="00CF0A29">
        <w:rPr>
          <w:rStyle w:val="EndnoteReference"/>
          <w:rFonts w:ascii="Palatino Linotype" w:eastAsia="MS PGothic" w:hAnsi="Palatino Linotype"/>
          <w:color w:val="auto"/>
        </w:rPr>
        <w:endnoteReference w:id="35"/>
      </w:r>
      <w:r w:rsidR="004A70CE" w:rsidRPr="00CF0A29">
        <w:rPr>
          <w:rFonts w:ascii="Palatino Linotype" w:eastAsia="MS PGothic" w:hAnsi="Palatino Linotype" w:cs="Palatino Linotype"/>
          <w:color w:val="auto"/>
        </w:rPr>
        <w:t xml:space="preserve">.  Another study of US military members showed HBOT </w:t>
      </w:r>
      <w:r w:rsidR="004A70CE" w:rsidRPr="00CF0A29">
        <w:rPr>
          <w:rFonts w:ascii="Palatino Linotype" w:hAnsi="Palatino Linotype" w:cs="Palatino Linotype"/>
          <w:color w:val="auto"/>
          <w:shd w:val="clear" w:color="auto" w:fill="FFFFFF"/>
        </w:rPr>
        <w:t>"improved post-concussive and PTSD symptoms, cognitive processing speed, sleep quality, and balance function, most dramatically in those with PTSD."  However</w:t>
      </w:r>
      <w:r w:rsidR="00172486">
        <w:rPr>
          <w:rFonts w:ascii="Palatino Linotype" w:hAnsi="Palatino Linotype" w:cs="Palatino Linotype"/>
          <w:color w:val="auto"/>
          <w:shd w:val="clear" w:color="auto" w:fill="FFFFFF"/>
        </w:rPr>
        <w:t>,</w:t>
      </w:r>
      <w:r w:rsidR="004A70CE" w:rsidRPr="00CF0A29">
        <w:rPr>
          <w:rFonts w:ascii="Palatino Linotype" w:hAnsi="Palatino Linotype" w:cs="Palatino Linotype"/>
          <w:color w:val="auto"/>
          <w:shd w:val="clear" w:color="auto" w:fill="FFFFFF"/>
        </w:rPr>
        <w:t xml:space="preserve"> in this study, contrary to some others, changes did not persist beyond six months</w:t>
      </w:r>
      <w:r w:rsidR="004A70CE" w:rsidRPr="00CF0A29">
        <w:rPr>
          <w:rStyle w:val="EndnoteReference"/>
          <w:rFonts w:ascii="Palatino Linotype" w:eastAsiaTheme="majorEastAsia" w:hAnsi="Palatino Linotype" w:cs="Palatino Linotype"/>
          <w:color w:val="auto"/>
          <w:shd w:val="clear" w:color="auto" w:fill="FFFFFF"/>
        </w:rPr>
        <w:endnoteReference w:id="36"/>
      </w:r>
      <w:r w:rsidR="004A70CE" w:rsidRPr="00CF0A29">
        <w:rPr>
          <w:rFonts w:ascii="Palatino Linotype" w:hAnsi="Palatino Linotype" w:cs="Palatino Linotype"/>
          <w:color w:val="auto"/>
          <w:shd w:val="clear" w:color="auto" w:fill="FFFFFF"/>
        </w:rPr>
        <w:t>.</w:t>
      </w:r>
    </w:p>
    <w:p w14:paraId="4FAB3FF3" w14:textId="77777777" w:rsidR="004A70CE" w:rsidRDefault="004A70CE" w:rsidP="00BC3421">
      <w:pPr>
        <w:rPr>
          <w:rFonts w:cstheme="minorHAnsi"/>
        </w:rPr>
      </w:pPr>
    </w:p>
    <w:p w14:paraId="6B747F0D" w14:textId="5E2B184D" w:rsidR="004A70CE" w:rsidRPr="00BC3421" w:rsidRDefault="004A70CE" w:rsidP="00BC3421">
      <w:pPr>
        <w:rPr>
          <w:rFonts w:cstheme="minorHAnsi"/>
        </w:rPr>
      </w:pPr>
      <w:r>
        <w:rPr>
          <w:rFonts w:cstheme="minorHAnsi"/>
        </w:rPr>
        <w:t xml:space="preserve">In the last fifteen years there have been at least eight randomized controlled studies using HBO to treat moderate traumatic brain injury (mTBI) and PTSD, including 352 </w:t>
      </w:r>
      <w:r>
        <w:rPr>
          <w:rFonts w:cstheme="minorHAnsi"/>
        </w:rPr>
        <w:lastRenderedPageBreak/>
        <w:t xml:space="preserve">treated subjects, nearly all of whom improved due to the treatment. </w:t>
      </w:r>
      <w:r w:rsidR="00172486">
        <w:rPr>
          <w:rFonts w:cstheme="minorHAnsi"/>
        </w:rPr>
        <w:t xml:space="preserve">(See Appendix 1) </w:t>
      </w:r>
      <w:r>
        <w:rPr>
          <w:rFonts w:cstheme="minorHAnsi"/>
        </w:rPr>
        <w:t>In only one study of 40 subjects was no improvement noted.  This study involved active-duty military embers as subject</w:t>
      </w:r>
      <w:r w:rsidR="00BD0325">
        <w:rPr>
          <w:rFonts w:cstheme="minorHAnsi"/>
        </w:rPr>
        <w:t>s</w:t>
      </w:r>
      <w:r>
        <w:rPr>
          <w:rFonts w:cstheme="minorHAnsi"/>
        </w:rPr>
        <w:t xml:space="preserve"> who may have had an incentive to not show</w:t>
      </w:r>
      <w:r w:rsidR="00BD0325">
        <w:rPr>
          <w:rFonts w:cstheme="minorHAnsi"/>
        </w:rPr>
        <w:t xml:space="preserve"> </w:t>
      </w:r>
      <w:r>
        <w:rPr>
          <w:rFonts w:cstheme="minorHAnsi"/>
        </w:rPr>
        <w:t xml:space="preserve">improvement for fear of losing </w:t>
      </w:r>
      <w:r w:rsidR="00D17EB4">
        <w:rPr>
          <w:rFonts w:cstheme="minorHAnsi"/>
        </w:rPr>
        <w:t>Veterans’ Administration (</w:t>
      </w:r>
      <w:r>
        <w:rPr>
          <w:rFonts w:cstheme="minorHAnsi"/>
        </w:rPr>
        <w:t>VA</w:t>
      </w:r>
      <w:r w:rsidR="00D17EB4">
        <w:rPr>
          <w:rFonts w:cstheme="minorHAnsi"/>
        </w:rPr>
        <w:t>)</w:t>
      </w:r>
      <w:r>
        <w:rPr>
          <w:rFonts w:cstheme="minorHAnsi"/>
        </w:rPr>
        <w:t xml:space="preserve"> benefits</w:t>
      </w:r>
      <w:r>
        <w:rPr>
          <w:rStyle w:val="EndnoteReference"/>
          <w:rFonts w:cstheme="minorHAnsi"/>
        </w:rPr>
        <w:endnoteReference w:id="37"/>
      </w:r>
      <w:r>
        <w:rPr>
          <w:rFonts w:cstheme="minorHAnsi"/>
        </w:rPr>
        <w:t xml:space="preserve">.  The study also </w:t>
      </w:r>
      <w:r w:rsidR="00BD0325">
        <w:rPr>
          <w:rFonts w:cstheme="minorHAnsi"/>
        </w:rPr>
        <w:t xml:space="preserve">only </w:t>
      </w:r>
      <w:r>
        <w:rPr>
          <w:rFonts w:cstheme="minorHAnsi"/>
        </w:rPr>
        <w:t xml:space="preserve">used eye-tracking as </w:t>
      </w:r>
      <w:r w:rsidR="00BE74D4">
        <w:rPr>
          <w:rFonts w:cstheme="minorHAnsi"/>
        </w:rPr>
        <w:t xml:space="preserve">the sole </w:t>
      </w:r>
      <w:r>
        <w:rPr>
          <w:rFonts w:cstheme="minorHAnsi"/>
        </w:rPr>
        <w:t xml:space="preserve">outcome measure, and one wonders what the results would have been if other more common measures such as </w:t>
      </w:r>
      <w:proofErr w:type="gramStart"/>
      <w:r w:rsidR="00BD0325">
        <w:rPr>
          <w:rFonts w:cstheme="minorHAnsi"/>
        </w:rPr>
        <w:t>quality of life</w:t>
      </w:r>
      <w:proofErr w:type="gramEnd"/>
      <w:r w:rsidR="00BD0325">
        <w:rPr>
          <w:rFonts w:cstheme="minorHAnsi"/>
        </w:rPr>
        <w:t xml:space="preserve"> assessments</w:t>
      </w:r>
      <w:r>
        <w:rPr>
          <w:rFonts w:cstheme="minorHAnsi"/>
        </w:rPr>
        <w:t xml:space="preserve"> and cognitive tests had been </w:t>
      </w:r>
      <w:r w:rsidR="00BE74D4">
        <w:rPr>
          <w:rFonts w:cstheme="minorHAnsi"/>
        </w:rPr>
        <w:t>utilized</w:t>
      </w:r>
      <w:r>
        <w:rPr>
          <w:rFonts w:cstheme="minorHAnsi"/>
        </w:rPr>
        <w:t xml:space="preserve">.  The summaries of the randomized controlled studies are reported in the spreadsheet in Appendix 1. </w:t>
      </w:r>
    </w:p>
    <w:p w14:paraId="2C3368D1" w14:textId="132399B0" w:rsidR="004A70CE" w:rsidRPr="004652BF" w:rsidRDefault="004652BF" w:rsidP="004652BF">
      <w:pPr>
        <w:ind w:left="720"/>
        <w:rPr>
          <w:rFonts w:cstheme="minorHAnsi"/>
          <w:b/>
          <w:bCs/>
        </w:rPr>
      </w:pPr>
      <w:r w:rsidRPr="004652BF">
        <w:rPr>
          <w:rFonts w:cstheme="minorHAnsi"/>
          <w:b/>
          <w:bCs/>
        </w:rPr>
        <w:t>2)</w:t>
      </w:r>
      <w:r>
        <w:rPr>
          <w:rFonts w:cstheme="minorHAnsi"/>
          <w:b/>
          <w:bCs/>
        </w:rPr>
        <w:t xml:space="preserve"> </w:t>
      </w:r>
      <w:r w:rsidR="004A70CE" w:rsidRPr="004652BF">
        <w:rPr>
          <w:rFonts w:cstheme="minorHAnsi"/>
          <w:b/>
          <w:bCs/>
        </w:rPr>
        <w:t>How HBO Works</w:t>
      </w:r>
    </w:p>
    <w:p w14:paraId="76FE2DB1" w14:textId="77777777" w:rsidR="004A70CE" w:rsidRPr="00CF0A29" w:rsidRDefault="004A70CE" w:rsidP="00BE0D42">
      <w:pPr>
        <w:pStyle w:val="Default"/>
        <w:rPr>
          <w:rFonts w:ascii="Palatino Linotype" w:eastAsia="MS PGothic" w:hAnsi="Palatino Linotype"/>
          <w:b/>
          <w:bCs/>
          <w:color w:val="auto"/>
        </w:rPr>
      </w:pPr>
      <w:r w:rsidRPr="00CF0A29">
        <w:rPr>
          <w:rFonts w:ascii="Palatino Linotype" w:eastAsia="MS PGothic" w:hAnsi="Palatino Linotype" w:cs="Palatino Linotype"/>
          <w:b/>
          <w:bCs/>
          <w:color w:val="auto"/>
        </w:rPr>
        <w:t xml:space="preserve">Cellular effects of HBO </w:t>
      </w:r>
    </w:p>
    <w:p w14:paraId="102BCD26" w14:textId="77777777" w:rsidR="004A70CE" w:rsidRPr="00CF0A29" w:rsidRDefault="004A70CE" w:rsidP="00BE0D42">
      <w:pPr>
        <w:pStyle w:val="Default"/>
        <w:rPr>
          <w:rFonts w:ascii="Palatino Linotype" w:eastAsia="MS PGothic" w:hAnsi="Palatino Linotype"/>
          <w:color w:val="auto"/>
        </w:rPr>
      </w:pPr>
    </w:p>
    <w:p w14:paraId="62E5BEAA" w14:textId="36501A8A" w:rsidR="004A70CE" w:rsidRDefault="004A70CE" w:rsidP="00BE0D42">
      <w:pPr>
        <w:pStyle w:val="Default"/>
        <w:rPr>
          <w:rFonts w:ascii="Palatino Linotype" w:eastAsia="MS PGothic" w:hAnsi="Palatino Linotype" w:cs="Palatino Linotype"/>
          <w:color w:val="auto"/>
        </w:rPr>
      </w:pPr>
      <w:r>
        <w:rPr>
          <w:rFonts w:ascii="Palatino Linotype" w:eastAsia="MS PGothic" w:hAnsi="Palatino Linotype" w:cs="Palatino Linotype"/>
          <w:color w:val="auto"/>
        </w:rPr>
        <w:t xml:space="preserve">While HBO is known to act in thousands of ways at a cellular level, it </w:t>
      </w:r>
      <w:r w:rsidR="00BD0325">
        <w:rPr>
          <w:rFonts w:ascii="Palatino Linotype" w:eastAsia="MS PGothic" w:hAnsi="Palatino Linotype" w:cs="Palatino Linotype"/>
          <w:color w:val="auto"/>
        </w:rPr>
        <w:t>is</w:t>
      </w:r>
      <w:r>
        <w:rPr>
          <w:rFonts w:ascii="Palatino Linotype" w:eastAsia="MS PGothic" w:hAnsi="Palatino Linotype" w:cs="Palatino Linotype"/>
          <w:color w:val="auto"/>
        </w:rPr>
        <w:t xml:space="preserve"> useful to put the known ways it works in neurologic injury into four main categories: </w:t>
      </w:r>
    </w:p>
    <w:p w14:paraId="2E746F78" w14:textId="77777777" w:rsidR="004A70CE" w:rsidRDefault="004A70CE" w:rsidP="009F3717">
      <w:pPr>
        <w:pStyle w:val="Default"/>
        <w:ind w:firstLine="720"/>
        <w:rPr>
          <w:rFonts w:ascii="Palatino Linotype" w:eastAsia="MS PGothic" w:hAnsi="Palatino Linotype" w:cs="Palatino Linotype"/>
          <w:color w:val="auto"/>
        </w:rPr>
      </w:pPr>
      <w:r>
        <w:rPr>
          <w:rFonts w:ascii="Palatino Linotype" w:eastAsia="MS PGothic" w:hAnsi="Palatino Linotype" w:cs="Palatino Linotype"/>
          <w:color w:val="auto"/>
        </w:rPr>
        <w:t xml:space="preserve">1) provision of oxygen to nerve cells which are hypoxic, </w:t>
      </w:r>
    </w:p>
    <w:p w14:paraId="49611B17" w14:textId="1FC7D084" w:rsidR="004A70CE" w:rsidRDefault="004A70CE" w:rsidP="009F3717">
      <w:pPr>
        <w:pStyle w:val="Default"/>
        <w:ind w:firstLine="720"/>
        <w:rPr>
          <w:rFonts w:ascii="Palatino Linotype" w:eastAsia="MS PGothic" w:hAnsi="Palatino Linotype" w:cs="Palatino Linotype"/>
          <w:color w:val="auto"/>
        </w:rPr>
      </w:pPr>
      <w:r>
        <w:rPr>
          <w:rFonts w:ascii="Palatino Linotype" w:eastAsia="MS PGothic" w:hAnsi="Palatino Linotype" w:cs="Palatino Linotype"/>
          <w:color w:val="auto"/>
        </w:rPr>
        <w:t xml:space="preserve">2) promotion of the synthesis of growth factors and other chemicals which help nerve healing and </w:t>
      </w:r>
      <w:r w:rsidR="00ED5CB3">
        <w:rPr>
          <w:rFonts w:ascii="Palatino Linotype" w:eastAsia="MS PGothic" w:hAnsi="Palatino Linotype" w:cs="Palatino Linotype"/>
          <w:color w:val="auto"/>
        </w:rPr>
        <w:t xml:space="preserve">axonal </w:t>
      </w:r>
      <w:r>
        <w:rPr>
          <w:rFonts w:ascii="Palatino Linotype" w:eastAsia="MS PGothic" w:hAnsi="Palatino Linotype" w:cs="Palatino Linotype"/>
          <w:color w:val="auto"/>
        </w:rPr>
        <w:t>growth</w:t>
      </w:r>
      <w:r w:rsidR="00ED5CB3">
        <w:rPr>
          <w:rFonts w:ascii="Palatino Linotype" w:eastAsia="MS PGothic" w:hAnsi="Palatino Linotype" w:cs="Palatino Linotype"/>
          <w:color w:val="auto"/>
        </w:rPr>
        <w:t xml:space="preserve"> and reconnection</w:t>
      </w:r>
      <w:r>
        <w:rPr>
          <w:rFonts w:ascii="Palatino Linotype" w:eastAsia="MS PGothic" w:hAnsi="Palatino Linotype" w:cs="Palatino Linotype"/>
          <w:color w:val="auto"/>
        </w:rPr>
        <w:t xml:space="preserve">, </w:t>
      </w:r>
    </w:p>
    <w:p w14:paraId="1D74DDE8" w14:textId="77777777" w:rsidR="004A70CE" w:rsidRDefault="004A70CE" w:rsidP="009F3717">
      <w:pPr>
        <w:pStyle w:val="Default"/>
        <w:ind w:firstLine="720"/>
        <w:rPr>
          <w:rFonts w:ascii="Palatino Linotype" w:eastAsia="MS PGothic" w:hAnsi="Palatino Linotype" w:cs="Palatino Linotype"/>
          <w:color w:val="auto"/>
        </w:rPr>
      </w:pPr>
      <w:r>
        <w:rPr>
          <w:rFonts w:ascii="Palatino Linotype" w:eastAsia="MS PGothic" w:hAnsi="Palatino Linotype" w:cs="Palatino Linotype"/>
          <w:color w:val="auto"/>
        </w:rPr>
        <w:t xml:space="preserve">3) reduction of inflammation and its effects, and </w:t>
      </w:r>
    </w:p>
    <w:p w14:paraId="514A6C2A" w14:textId="77777777" w:rsidR="004A70CE" w:rsidRDefault="004A70CE" w:rsidP="009F3717">
      <w:pPr>
        <w:pStyle w:val="Default"/>
        <w:ind w:firstLine="720"/>
        <w:rPr>
          <w:rFonts w:ascii="Palatino Linotype" w:eastAsia="MS PGothic" w:hAnsi="Palatino Linotype" w:cs="Palatino Linotype"/>
          <w:color w:val="auto"/>
        </w:rPr>
      </w:pPr>
      <w:r>
        <w:rPr>
          <w:rFonts w:ascii="Palatino Linotype" w:eastAsia="MS PGothic" w:hAnsi="Palatino Linotype" w:cs="Palatino Linotype"/>
          <w:color w:val="auto"/>
        </w:rPr>
        <w:t xml:space="preserve">4) direct action on nerve cells to reduce pain.  </w:t>
      </w:r>
    </w:p>
    <w:p w14:paraId="2851AC69" w14:textId="77777777" w:rsidR="004A70CE" w:rsidRDefault="004A70CE" w:rsidP="009F3717">
      <w:pPr>
        <w:pStyle w:val="Default"/>
        <w:rPr>
          <w:rFonts w:ascii="Palatino Linotype" w:eastAsia="MS PGothic" w:hAnsi="Palatino Linotype" w:cs="Palatino Linotype"/>
          <w:color w:val="auto"/>
        </w:rPr>
      </w:pPr>
    </w:p>
    <w:p w14:paraId="7B69E95E" w14:textId="7A2E22CB" w:rsidR="004A70CE" w:rsidRPr="00CF0A29" w:rsidRDefault="004A70CE" w:rsidP="009F3717">
      <w:pPr>
        <w:pStyle w:val="Default"/>
        <w:rPr>
          <w:rFonts w:ascii="Palatino Linotype" w:eastAsia="MS PGothic" w:hAnsi="Palatino Linotype" w:cs="Palatino Linotype"/>
          <w:color w:val="auto"/>
        </w:rPr>
      </w:pPr>
      <w:r>
        <w:rPr>
          <w:rFonts w:ascii="Palatino Linotype" w:eastAsia="MS PGothic" w:hAnsi="Palatino Linotype" w:cs="Palatino Linotype"/>
          <w:color w:val="auto"/>
        </w:rPr>
        <w:t>Nerve cells (n</w:t>
      </w:r>
      <w:r w:rsidRPr="00CF0A29">
        <w:rPr>
          <w:rFonts w:ascii="Palatino Linotype" w:eastAsia="MS PGothic" w:hAnsi="Palatino Linotype" w:cs="Palatino Linotype"/>
          <w:color w:val="auto"/>
        </w:rPr>
        <w:t>eurons</w:t>
      </w:r>
      <w:r>
        <w:rPr>
          <w:rFonts w:ascii="Palatino Linotype" w:eastAsia="MS PGothic" w:hAnsi="Palatino Linotype" w:cs="Palatino Linotype"/>
          <w:color w:val="auto"/>
        </w:rPr>
        <w:t>)</w:t>
      </w:r>
      <w:r w:rsidRPr="00CF0A29">
        <w:rPr>
          <w:rFonts w:ascii="Palatino Linotype" w:eastAsia="MS PGothic" w:hAnsi="Palatino Linotype" w:cs="Palatino Linotype"/>
          <w:color w:val="auto"/>
        </w:rPr>
        <w:t xml:space="preserve"> are exquisitely sensitive to any change in oxygen concentration, whether offered as hypoxia or any form of hyperoxia such as an oxygen enriched environment, hyperbaric air, or hyperbaric oxygen. A change in oxygen concentration results in gene transcription by the neuron, especially in stress responses, transport/neurotransmission, and signal transduction</w:t>
      </w:r>
      <w:r w:rsidRPr="00CF0A29">
        <w:rPr>
          <w:rStyle w:val="EndnoteReference"/>
          <w:rFonts w:ascii="Palatino Linotype" w:eastAsia="MS PGothic" w:hAnsi="Palatino Linotype"/>
          <w:color w:val="auto"/>
        </w:rPr>
        <w:endnoteReference w:id="38"/>
      </w:r>
      <w:r w:rsidRPr="00CF0A29">
        <w:rPr>
          <w:rFonts w:ascii="Palatino Linotype" w:eastAsia="MS PGothic" w:hAnsi="Palatino Linotype" w:cs="Palatino Linotype"/>
          <w:color w:val="auto"/>
        </w:rPr>
        <w:t>. Thousands of affected genes have been identified</w:t>
      </w:r>
      <w:r w:rsidRPr="00CF0A29">
        <w:rPr>
          <w:rStyle w:val="EndnoteReference"/>
          <w:rFonts w:ascii="Palatino Linotype" w:eastAsia="MS PGothic" w:hAnsi="Palatino Linotype"/>
          <w:color w:val="auto"/>
        </w:rPr>
        <w:endnoteReference w:id="39"/>
      </w:r>
      <w:r w:rsidRPr="00CF0A29">
        <w:rPr>
          <w:rFonts w:ascii="Palatino Linotype" w:eastAsia="MS PGothic" w:hAnsi="Palatino Linotype" w:cs="Palatino Linotype"/>
          <w:color w:val="auto"/>
        </w:rPr>
        <w:t>. Several studies have identified HBOT as a direct or indirect DNA signaling agent</w:t>
      </w:r>
      <w:r w:rsidRPr="00CF0A29">
        <w:rPr>
          <w:rStyle w:val="EndnoteReference"/>
          <w:rFonts w:ascii="Palatino Linotype" w:eastAsia="MS PGothic" w:hAnsi="Palatino Linotype"/>
          <w:color w:val="auto"/>
        </w:rPr>
        <w:endnoteReference w:id="40"/>
      </w:r>
      <w:r w:rsidRPr="00CF0A29">
        <w:rPr>
          <w:rFonts w:ascii="Palatino Linotype" w:eastAsia="MS PGothic" w:hAnsi="Palatino Linotype" w:cs="Palatino Linotype"/>
          <w:color w:val="auto"/>
          <w:vertAlign w:val="superscript"/>
        </w:rPr>
        <w:t>,</w:t>
      </w:r>
      <w:r w:rsidRPr="00CF0A29">
        <w:rPr>
          <w:rStyle w:val="EndnoteReference"/>
          <w:rFonts w:ascii="Palatino Linotype" w:eastAsia="MS PGothic" w:hAnsi="Palatino Linotype"/>
          <w:color w:val="auto"/>
        </w:rPr>
        <w:endnoteReference w:id="41"/>
      </w:r>
      <w:r w:rsidRPr="00CF0A29">
        <w:rPr>
          <w:rFonts w:ascii="Palatino Linotype" w:eastAsia="MS PGothic" w:hAnsi="Palatino Linotype" w:cs="Palatino Linotype"/>
          <w:color w:val="auto"/>
        </w:rPr>
        <w:t xml:space="preserve">. </w:t>
      </w:r>
    </w:p>
    <w:p w14:paraId="292AAEB1" w14:textId="77777777" w:rsidR="004A70CE" w:rsidRPr="00CF0A29" w:rsidRDefault="004A70CE" w:rsidP="00BE0D42">
      <w:pPr>
        <w:pStyle w:val="Default"/>
        <w:rPr>
          <w:rFonts w:ascii="Palatino Linotype" w:eastAsia="MS PGothic" w:hAnsi="Palatino Linotype" w:cs="Palatino Linotype"/>
          <w:color w:val="auto"/>
        </w:rPr>
      </w:pPr>
    </w:p>
    <w:p w14:paraId="31FF8E5D" w14:textId="77777777" w:rsidR="004A70CE" w:rsidRDefault="004A70CE" w:rsidP="00BE0D42">
      <w:pPr>
        <w:pStyle w:val="Default"/>
        <w:rPr>
          <w:rFonts w:ascii="Palatino Linotype" w:eastAsia="MS PGothic" w:hAnsi="Palatino Linotype" w:cs="Palatino Linotype"/>
          <w:b/>
          <w:bCs/>
          <w:color w:val="auto"/>
        </w:rPr>
      </w:pPr>
      <w:r>
        <w:rPr>
          <w:rFonts w:ascii="Palatino Linotype" w:eastAsia="MS PGothic" w:hAnsi="Palatino Linotype" w:cs="Palatino Linotype"/>
          <w:b/>
          <w:bCs/>
          <w:color w:val="auto"/>
        </w:rPr>
        <w:t>HBO as a provider of oxygen</w:t>
      </w:r>
    </w:p>
    <w:p w14:paraId="4DA549A0" w14:textId="77777777" w:rsidR="004A70CE" w:rsidRDefault="004A70CE" w:rsidP="00BE0D42">
      <w:pPr>
        <w:pStyle w:val="Default"/>
        <w:rPr>
          <w:rFonts w:ascii="Palatino Linotype" w:eastAsia="MS PGothic" w:hAnsi="Palatino Linotype" w:cs="Palatino Linotype"/>
          <w:b/>
          <w:bCs/>
          <w:color w:val="auto"/>
        </w:rPr>
      </w:pPr>
    </w:p>
    <w:p w14:paraId="4F5CEC43" w14:textId="34C3DED9" w:rsidR="004A70CE" w:rsidRDefault="004A70CE" w:rsidP="00BE0D42">
      <w:pPr>
        <w:pStyle w:val="Default"/>
        <w:rPr>
          <w:rFonts w:ascii="Palatino Linotype" w:eastAsia="MS PGothic" w:hAnsi="Palatino Linotype" w:cs="Palatino Linotype"/>
          <w:color w:val="auto"/>
        </w:rPr>
      </w:pPr>
      <w:r w:rsidRPr="00CC6622">
        <w:rPr>
          <w:rFonts w:ascii="Palatino Linotype" w:eastAsia="MS PGothic" w:hAnsi="Palatino Linotype" w:cs="Palatino Linotype"/>
          <w:color w:val="auto"/>
        </w:rPr>
        <w:t>Areas of poor blood flow and localized hypoxia are a hallmark of TBI</w:t>
      </w:r>
      <w:r>
        <w:rPr>
          <w:rStyle w:val="EndnoteReference"/>
          <w:rFonts w:ascii="Palatino Linotype" w:eastAsia="MS PGothic" w:hAnsi="Palatino Linotype" w:cs="Palatino Linotype"/>
          <w:color w:val="auto"/>
        </w:rPr>
        <w:endnoteReference w:id="42"/>
      </w:r>
      <w:r>
        <w:rPr>
          <w:rFonts w:ascii="Palatino Linotype" w:eastAsia="MS PGothic" w:hAnsi="Palatino Linotype" w:cs="Palatino Linotype"/>
          <w:color w:val="auto"/>
        </w:rPr>
        <w:t>.   These area</w:t>
      </w:r>
      <w:r w:rsidR="00BD0325">
        <w:rPr>
          <w:rFonts w:ascii="Palatino Linotype" w:eastAsia="MS PGothic" w:hAnsi="Palatino Linotype" w:cs="Palatino Linotype"/>
          <w:color w:val="auto"/>
        </w:rPr>
        <w:t>s</w:t>
      </w:r>
      <w:r>
        <w:rPr>
          <w:rFonts w:ascii="Palatino Linotype" w:eastAsia="MS PGothic" w:hAnsi="Palatino Linotype" w:cs="Palatino Linotype"/>
          <w:color w:val="auto"/>
        </w:rPr>
        <w:t xml:space="preserve"> correlate with clinical findings and are often large</w:t>
      </w:r>
      <w:r w:rsidR="00BD0325">
        <w:rPr>
          <w:rFonts w:ascii="Palatino Linotype" w:eastAsia="MS PGothic" w:hAnsi="Palatino Linotype" w:cs="Palatino Linotype"/>
          <w:color w:val="auto"/>
        </w:rPr>
        <w:t>r</w:t>
      </w:r>
      <w:r>
        <w:rPr>
          <w:rFonts w:ascii="Palatino Linotype" w:eastAsia="MS PGothic" w:hAnsi="Palatino Linotype" w:cs="Palatino Linotype"/>
          <w:color w:val="auto"/>
        </w:rPr>
        <w:t xml:space="preserve"> than areas of injury identified by physical exam or </w:t>
      </w:r>
      <w:r w:rsidR="00ED5CB3">
        <w:rPr>
          <w:rFonts w:ascii="Palatino Linotype" w:eastAsia="MS PGothic" w:hAnsi="Palatino Linotype" w:cs="Palatino Linotype"/>
          <w:color w:val="auto"/>
        </w:rPr>
        <w:t>computed tomography (</w:t>
      </w:r>
      <w:r>
        <w:rPr>
          <w:rFonts w:ascii="Palatino Linotype" w:eastAsia="MS PGothic" w:hAnsi="Palatino Linotype" w:cs="Palatino Linotype"/>
          <w:color w:val="auto"/>
        </w:rPr>
        <w:t>CT</w:t>
      </w:r>
      <w:r w:rsidR="00ED5CB3">
        <w:rPr>
          <w:rFonts w:ascii="Palatino Linotype" w:eastAsia="MS PGothic" w:hAnsi="Palatino Linotype" w:cs="Palatino Linotype"/>
          <w:color w:val="auto"/>
        </w:rPr>
        <w:t>)</w:t>
      </w:r>
      <w:r>
        <w:rPr>
          <w:rFonts w:ascii="Palatino Linotype" w:eastAsia="MS PGothic" w:hAnsi="Palatino Linotype" w:cs="Palatino Linotype"/>
          <w:color w:val="auto"/>
        </w:rPr>
        <w:t xml:space="preserve"> scan.  These hypoxic areas generate reactive oxygen species</w:t>
      </w:r>
      <w:r>
        <w:rPr>
          <w:rStyle w:val="EndnoteReference"/>
          <w:rFonts w:ascii="Palatino Linotype" w:eastAsia="MS PGothic" w:hAnsi="Palatino Linotype" w:cs="Palatino Linotype"/>
          <w:color w:val="auto"/>
        </w:rPr>
        <w:endnoteReference w:id="43"/>
      </w:r>
      <w:r>
        <w:rPr>
          <w:rFonts w:ascii="Palatino Linotype" w:eastAsia="MS PGothic" w:hAnsi="Palatino Linotype" w:cs="Palatino Linotype"/>
          <w:color w:val="auto"/>
        </w:rPr>
        <w:t xml:space="preserve"> (ROS, or oxygen free radicals), one of the signals for wound </w:t>
      </w:r>
      <w:r>
        <w:rPr>
          <w:rFonts w:ascii="Palatino Linotype" w:eastAsia="MS PGothic" w:hAnsi="Palatino Linotype" w:cs="Palatino Linotype"/>
          <w:color w:val="auto"/>
        </w:rPr>
        <w:lastRenderedPageBreak/>
        <w:t xml:space="preserve">healing, but cannot heal because the low oxygen levels are not high enough to support healing, and this localized environment of high ROS </w:t>
      </w:r>
      <w:r w:rsidR="00BD0325">
        <w:rPr>
          <w:rFonts w:ascii="Palatino Linotype" w:eastAsia="MS PGothic" w:hAnsi="Palatino Linotype" w:cs="Palatino Linotype"/>
          <w:color w:val="auto"/>
        </w:rPr>
        <w:t xml:space="preserve">and hypoxia </w:t>
      </w:r>
      <w:r>
        <w:rPr>
          <w:rFonts w:ascii="Palatino Linotype" w:eastAsia="MS PGothic" w:hAnsi="Palatino Linotype" w:cs="Palatino Linotype"/>
          <w:color w:val="auto"/>
        </w:rPr>
        <w:t>cause</w:t>
      </w:r>
      <w:r w:rsidR="00BD0325">
        <w:rPr>
          <w:rFonts w:ascii="Palatino Linotype" w:eastAsia="MS PGothic" w:hAnsi="Palatino Linotype" w:cs="Palatino Linotype"/>
          <w:color w:val="auto"/>
        </w:rPr>
        <w:t>s</w:t>
      </w:r>
      <w:r>
        <w:rPr>
          <w:rFonts w:ascii="Palatino Linotype" w:eastAsia="MS PGothic" w:hAnsi="Palatino Linotype" w:cs="Palatino Linotype"/>
          <w:color w:val="auto"/>
        </w:rPr>
        <w:t xml:space="preserve"> further cell dysfunction and death.  HBOT can correct these areas of hypoxia permanently and lead to brain healing</w:t>
      </w:r>
      <w:r>
        <w:rPr>
          <w:rStyle w:val="EndnoteReference"/>
          <w:rFonts w:ascii="Palatino Linotype" w:eastAsia="MS PGothic" w:hAnsi="Palatino Linotype" w:cs="Palatino Linotype"/>
          <w:color w:val="auto"/>
        </w:rPr>
        <w:endnoteReference w:id="44"/>
      </w:r>
      <w:r>
        <w:rPr>
          <w:rFonts w:ascii="Palatino Linotype" w:eastAsia="MS PGothic" w:hAnsi="Palatino Linotype" w:cs="Palatino Linotype"/>
          <w:color w:val="auto"/>
        </w:rPr>
        <w:t>.  Similarly, spinal cord injury is characterized by an area of injury, scar formation, chronic inflammation and hypoxia resulting in progressive neurodegeneration</w:t>
      </w:r>
      <w:r>
        <w:rPr>
          <w:rStyle w:val="EndnoteReference"/>
          <w:rFonts w:ascii="Palatino Linotype" w:eastAsia="MS PGothic" w:hAnsi="Palatino Linotype" w:cs="Palatino Linotype"/>
          <w:color w:val="auto"/>
        </w:rPr>
        <w:endnoteReference w:id="45"/>
      </w:r>
      <w:r>
        <w:rPr>
          <w:rFonts w:ascii="Palatino Linotype" w:eastAsia="MS PGothic" w:hAnsi="Palatino Linotype" w:cs="Palatino Linotype"/>
          <w:color w:val="auto"/>
        </w:rPr>
        <w:t>, and regional pain syndrome</w:t>
      </w:r>
      <w:r>
        <w:rPr>
          <w:rStyle w:val="EndnoteReference"/>
          <w:rFonts w:ascii="Palatino Linotype" w:eastAsia="MS PGothic" w:hAnsi="Palatino Linotype" w:cs="Palatino Linotype"/>
          <w:color w:val="auto"/>
        </w:rPr>
        <w:endnoteReference w:id="46"/>
      </w:r>
      <w:r>
        <w:rPr>
          <w:rFonts w:ascii="Palatino Linotype" w:eastAsia="MS PGothic" w:hAnsi="Palatino Linotype" w:cs="Palatino Linotype"/>
          <w:color w:val="auto"/>
        </w:rPr>
        <w:t>.</w:t>
      </w:r>
    </w:p>
    <w:p w14:paraId="18748F35" w14:textId="77777777" w:rsidR="00372DA3" w:rsidRDefault="00372DA3" w:rsidP="00BE0D42">
      <w:pPr>
        <w:pStyle w:val="Default"/>
        <w:rPr>
          <w:rFonts w:ascii="Palatino Linotype" w:eastAsia="MS PGothic" w:hAnsi="Palatino Linotype" w:cs="Palatino Linotype"/>
          <w:b/>
          <w:bCs/>
          <w:color w:val="auto"/>
        </w:rPr>
      </w:pPr>
    </w:p>
    <w:p w14:paraId="32F993CC" w14:textId="77BFE9AD" w:rsidR="004A70CE" w:rsidRPr="009F3717" w:rsidRDefault="004A70CE" w:rsidP="00BE0D42">
      <w:pPr>
        <w:pStyle w:val="Default"/>
        <w:rPr>
          <w:rFonts w:ascii="Palatino Linotype" w:eastAsia="MS PGothic" w:hAnsi="Palatino Linotype" w:cs="Palatino Linotype"/>
          <w:b/>
          <w:bCs/>
          <w:color w:val="auto"/>
        </w:rPr>
      </w:pPr>
      <w:r w:rsidRPr="009F3717">
        <w:rPr>
          <w:rFonts w:ascii="Palatino Linotype" w:eastAsia="MS PGothic" w:hAnsi="Palatino Linotype" w:cs="Palatino Linotype"/>
          <w:b/>
          <w:bCs/>
          <w:color w:val="auto"/>
        </w:rPr>
        <w:t>HBO as a nerve healing agent</w:t>
      </w:r>
    </w:p>
    <w:p w14:paraId="6C0F30AF" w14:textId="77777777" w:rsidR="004A70CE" w:rsidRDefault="004A70CE" w:rsidP="00BE0D42">
      <w:pPr>
        <w:pStyle w:val="Default"/>
        <w:rPr>
          <w:rFonts w:ascii="Palatino Linotype" w:eastAsia="MS PGothic" w:hAnsi="Palatino Linotype" w:cs="Palatino Linotype"/>
          <w:color w:val="auto"/>
        </w:rPr>
      </w:pPr>
    </w:p>
    <w:p w14:paraId="657C735F" w14:textId="6642ED8F" w:rsidR="004A70CE" w:rsidRPr="00CF0A29" w:rsidRDefault="004A70CE" w:rsidP="00BE0D42">
      <w:pPr>
        <w:pStyle w:val="Default"/>
        <w:rPr>
          <w:rFonts w:ascii="Palatino Linotype" w:eastAsia="MS PGothic" w:hAnsi="Palatino Linotype"/>
          <w:color w:val="auto"/>
        </w:rPr>
      </w:pPr>
      <w:r w:rsidRPr="00CF0A29">
        <w:rPr>
          <w:rFonts w:ascii="Palatino Linotype" w:eastAsia="MS PGothic" w:hAnsi="Palatino Linotype" w:cs="Palatino Linotype"/>
          <w:color w:val="auto"/>
        </w:rPr>
        <w:t xml:space="preserve">HBOT has numerous cellular mechanisms of action which are neuroprotective and assist the injured brain to heal. These include: activation of ion channels, inhibition of hypoxia inducible factor-1alpha, up-regulation of Bcl-2, inhibition of MMP-9, decreased cyclooxygenase-2 activity, decreased myeloperoxidase activity, up-regulation of superoxide dismutase and inhibition of </w:t>
      </w:r>
      <w:proofErr w:type="spellStart"/>
      <w:r w:rsidRPr="00CF0A29">
        <w:rPr>
          <w:rFonts w:ascii="Palatino Linotype" w:eastAsia="MS PGothic" w:hAnsi="Palatino Linotype" w:cs="Palatino Linotype"/>
          <w:color w:val="auto"/>
        </w:rPr>
        <w:t>Nogo</w:t>
      </w:r>
      <w:proofErr w:type="spellEnd"/>
      <w:r w:rsidRPr="00CF0A29">
        <w:rPr>
          <w:rFonts w:ascii="Palatino Linotype" w:eastAsia="MS PGothic" w:hAnsi="Palatino Linotype" w:cs="Palatino Linotype"/>
          <w:color w:val="auto"/>
        </w:rPr>
        <w:t>-A (an endogenous growth-inhibitory factor)</w:t>
      </w:r>
      <w:r w:rsidRPr="009F3717">
        <w:rPr>
          <w:rStyle w:val="EndnoteReference"/>
          <w:rFonts w:ascii="Palatino Linotype" w:eastAsia="MS PGothic" w:hAnsi="Palatino Linotype"/>
          <w:color w:val="auto"/>
        </w:rPr>
        <w:endnoteReference w:id="47"/>
      </w:r>
      <w:r w:rsidRPr="009F3717">
        <w:rPr>
          <w:rFonts w:ascii="Palatino Linotype" w:eastAsia="MS PGothic" w:hAnsi="Palatino Linotype" w:cs="Palatino Linotype"/>
          <w:color w:val="auto"/>
          <w:vertAlign w:val="superscript"/>
        </w:rPr>
        <w:t>,</w:t>
      </w:r>
      <w:r w:rsidRPr="009F3717">
        <w:rPr>
          <w:rStyle w:val="EndnoteReference"/>
          <w:rFonts w:ascii="Palatino Linotype" w:eastAsia="MS PGothic" w:hAnsi="Palatino Linotype" w:cs="Palatino Linotype"/>
          <w:color w:val="auto"/>
        </w:rPr>
        <w:endnoteReference w:id="48"/>
      </w:r>
      <w:r w:rsidRPr="009F3717">
        <w:rPr>
          <w:rFonts w:ascii="Palatino Linotype" w:eastAsia="MS PGothic" w:hAnsi="Palatino Linotype" w:cs="Palatino Linotype"/>
          <w:color w:val="auto"/>
          <w:vertAlign w:val="superscript"/>
        </w:rPr>
        <w:t>,</w:t>
      </w:r>
      <w:r w:rsidRPr="009F3717">
        <w:rPr>
          <w:rStyle w:val="EndnoteReference"/>
          <w:rFonts w:ascii="Palatino Linotype" w:eastAsia="MS PGothic" w:hAnsi="Palatino Linotype" w:cs="Palatino Linotype"/>
          <w:color w:val="auto"/>
        </w:rPr>
        <w:endnoteReference w:id="49"/>
      </w:r>
      <w:r w:rsidRPr="00CF0A29">
        <w:rPr>
          <w:rFonts w:ascii="Palatino Linotype" w:eastAsia="MS PGothic" w:hAnsi="Palatino Linotype" w:cs="Palatino Linotype"/>
          <w:color w:val="auto"/>
        </w:rPr>
        <w:t>. HBOT enhances mitochondrial recovery and reduces apoptosis</w:t>
      </w:r>
      <w:r w:rsidR="00BD0325">
        <w:rPr>
          <w:rFonts w:ascii="Palatino Linotype" w:eastAsia="MS PGothic" w:hAnsi="Palatino Linotype" w:cs="Palatino Linotype"/>
          <w:color w:val="auto"/>
        </w:rPr>
        <w:t xml:space="preserve"> (near cell death)</w:t>
      </w:r>
      <w:r w:rsidRPr="00CF0A29">
        <w:rPr>
          <w:rFonts w:ascii="Palatino Linotype" w:eastAsia="MS PGothic" w:hAnsi="Palatino Linotype" w:cs="Palatino Linotype"/>
          <w:color w:val="auto"/>
        </w:rPr>
        <w:t xml:space="preserve"> in hypoxic nerve cells</w:t>
      </w:r>
      <w:r w:rsidRPr="00CF0A29">
        <w:rPr>
          <w:rStyle w:val="EndnoteReference"/>
          <w:rFonts w:ascii="Palatino Linotype" w:eastAsia="MS PGothic" w:hAnsi="Palatino Linotype"/>
          <w:color w:val="auto"/>
        </w:rPr>
        <w:endnoteReference w:id="50"/>
      </w:r>
      <w:r w:rsidRPr="00CF0A29">
        <w:rPr>
          <w:rFonts w:ascii="Palatino Linotype" w:eastAsia="MS PGothic" w:hAnsi="Palatino Linotype" w:cs="Palatino Linotype"/>
          <w:color w:val="auto"/>
          <w:vertAlign w:val="superscript"/>
        </w:rPr>
        <w:t>,</w:t>
      </w:r>
      <w:r w:rsidRPr="00CF0A29">
        <w:rPr>
          <w:rStyle w:val="EndnoteReference"/>
          <w:rFonts w:ascii="Palatino Linotype" w:eastAsia="MS PGothic" w:hAnsi="Palatino Linotype"/>
          <w:color w:val="auto"/>
        </w:rPr>
        <w:endnoteReference w:id="51"/>
      </w:r>
      <w:r w:rsidRPr="00CF0A29">
        <w:rPr>
          <w:rFonts w:ascii="Palatino Linotype" w:eastAsia="MS PGothic" w:hAnsi="Palatino Linotype" w:cs="Palatino Linotype"/>
          <w:color w:val="auto"/>
        </w:rPr>
        <w:t>. HBOT promotes neural stem cell activation and growth</w:t>
      </w:r>
      <w:r w:rsidRPr="00CF0A29">
        <w:rPr>
          <w:rStyle w:val="EndnoteReference"/>
          <w:rFonts w:ascii="Palatino Linotype" w:eastAsia="MS PGothic" w:hAnsi="Palatino Linotype"/>
          <w:color w:val="auto"/>
        </w:rPr>
        <w:endnoteReference w:id="52"/>
      </w:r>
      <w:r w:rsidRPr="00CF0A29">
        <w:rPr>
          <w:rFonts w:ascii="Palatino Linotype" w:eastAsia="MS PGothic" w:hAnsi="Palatino Linotype" w:cs="Palatino Linotype"/>
          <w:color w:val="auto"/>
          <w:vertAlign w:val="superscript"/>
        </w:rPr>
        <w:t>,</w:t>
      </w:r>
      <w:r w:rsidRPr="00CF0A29">
        <w:rPr>
          <w:rStyle w:val="EndnoteReference"/>
          <w:rFonts w:ascii="Palatino Linotype" w:eastAsia="MS PGothic" w:hAnsi="Palatino Linotype"/>
          <w:color w:val="auto"/>
        </w:rPr>
        <w:endnoteReference w:id="53"/>
      </w:r>
      <w:r w:rsidRPr="00CF0A29">
        <w:rPr>
          <w:rFonts w:ascii="Palatino Linotype" w:eastAsia="MS PGothic" w:hAnsi="Palatino Linotype" w:cs="Palatino Linotype"/>
          <w:color w:val="auto"/>
        </w:rPr>
        <w:t>, and this effect is seen in the hypoxic damaged brain</w:t>
      </w:r>
      <w:r w:rsidRPr="00CF0A29">
        <w:rPr>
          <w:rStyle w:val="EndnoteReference"/>
          <w:rFonts w:ascii="Palatino Linotype" w:eastAsia="MS PGothic" w:hAnsi="Palatino Linotype"/>
          <w:color w:val="auto"/>
        </w:rPr>
        <w:endnoteReference w:id="54"/>
      </w:r>
      <w:r w:rsidRPr="00CF0A29">
        <w:rPr>
          <w:rFonts w:ascii="Palatino Linotype" w:eastAsia="MS PGothic" w:hAnsi="Palatino Linotype" w:cs="Palatino Linotype"/>
          <w:color w:val="auto"/>
          <w:vertAlign w:val="superscript"/>
        </w:rPr>
        <w:t>,</w:t>
      </w:r>
      <w:r w:rsidRPr="00CF0A29">
        <w:rPr>
          <w:rStyle w:val="EndnoteReference"/>
          <w:rFonts w:ascii="Palatino Linotype" w:eastAsia="MS PGothic" w:hAnsi="Palatino Linotype"/>
          <w:color w:val="auto"/>
        </w:rPr>
        <w:endnoteReference w:id="55"/>
      </w:r>
      <w:r w:rsidRPr="00CF0A29">
        <w:rPr>
          <w:rFonts w:ascii="Palatino Linotype" w:eastAsia="MS PGothic" w:hAnsi="Palatino Linotype" w:cs="Palatino Linotype"/>
          <w:color w:val="auto"/>
          <w:vertAlign w:val="superscript"/>
        </w:rPr>
        <w:t>,</w:t>
      </w:r>
      <w:r w:rsidRPr="00CF0A29">
        <w:rPr>
          <w:rStyle w:val="EndnoteReference"/>
          <w:rFonts w:ascii="Palatino Linotype" w:eastAsia="MS PGothic" w:hAnsi="Palatino Linotype"/>
          <w:color w:val="auto"/>
        </w:rPr>
        <w:endnoteReference w:id="56"/>
      </w:r>
      <w:r w:rsidRPr="00CF0A29">
        <w:rPr>
          <w:rFonts w:ascii="Palatino Linotype" w:eastAsia="MS PGothic" w:hAnsi="Palatino Linotype" w:cs="Palatino Linotype"/>
          <w:color w:val="auto"/>
        </w:rPr>
        <w:t>. HBOT also alleviates hypoxic induced myelin damage</w:t>
      </w:r>
      <w:r w:rsidRPr="00CF0A29">
        <w:rPr>
          <w:rStyle w:val="EndnoteReference"/>
          <w:rFonts w:ascii="Palatino Linotype" w:eastAsia="MS PGothic" w:hAnsi="Palatino Linotype"/>
          <w:color w:val="auto"/>
        </w:rPr>
        <w:endnoteReference w:id="57"/>
      </w:r>
      <w:r w:rsidRPr="00CF0A29">
        <w:rPr>
          <w:rFonts w:ascii="Palatino Linotype" w:eastAsia="MS PGothic" w:hAnsi="Palatino Linotype" w:cs="Palatino Linotype"/>
          <w:color w:val="auto"/>
          <w:vertAlign w:val="superscript"/>
        </w:rPr>
        <w:t>,</w:t>
      </w:r>
      <w:r w:rsidRPr="00CF0A29">
        <w:rPr>
          <w:rStyle w:val="EndnoteReference"/>
          <w:rFonts w:ascii="Palatino Linotype" w:eastAsia="MS PGothic" w:hAnsi="Palatino Linotype"/>
          <w:color w:val="auto"/>
        </w:rPr>
        <w:endnoteReference w:id="58"/>
      </w:r>
      <w:r w:rsidRPr="00CF0A29">
        <w:rPr>
          <w:rFonts w:ascii="Palatino Linotype" w:eastAsia="MS PGothic" w:hAnsi="Palatino Linotype" w:cs="Palatino Linotype"/>
          <w:color w:val="auto"/>
        </w:rPr>
        <w:t xml:space="preserve">. HBOT increases cellular ATP </w:t>
      </w:r>
      <w:r w:rsidR="004416F4">
        <w:rPr>
          <w:rFonts w:ascii="Palatino Linotype" w:eastAsia="MS PGothic" w:hAnsi="Palatino Linotype" w:cs="Palatino Linotype"/>
          <w:color w:val="auto"/>
        </w:rPr>
        <w:t xml:space="preserve">(adenosine triphosphate) </w:t>
      </w:r>
      <w:r w:rsidRPr="00CF0A29">
        <w:rPr>
          <w:rFonts w:ascii="Palatino Linotype" w:eastAsia="MS PGothic" w:hAnsi="Palatino Linotype" w:cs="Palatino Linotype"/>
          <w:color w:val="auto"/>
        </w:rPr>
        <w:t>levels and cognitive recovery after concussive injury</w:t>
      </w:r>
      <w:r w:rsidRPr="00CF0A29">
        <w:rPr>
          <w:rStyle w:val="EndnoteReference"/>
          <w:rFonts w:ascii="Palatino Linotype" w:eastAsia="MS PGothic" w:hAnsi="Palatino Linotype"/>
          <w:color w:val="auto"/>
        </w:rPr>
        <w:endnoteReference w:id="59"/>
      </w:r>
      <w:r w:rsidRPr="00CF0A29">
        <w:rPr>
          <w:rFonts w:ascii="Palatino Linotype" w:eastAsia="MS PGothic" w:hAnsi="Palatino Linotype" w:cs="Palatino Linotype"/>
          <w:color w:val="auto"/>
        </w:rPr>
        <w:t>. These findings correlate with the cellular response in humans. For example, in children with autism treated with HBOT, markers of oxidative stress were significantly lowered</w:t>
      </w:r>
      <w:r w:rsidRPr="00CF0A29">
        <w:rPr>
          <w:rStyle w:val="EndnoteReference"/>
          <w:rFonts w:ascii="Palatino Linotype" w:eastAsia="MS PGothic" w:hAnsi="Palatino Linotype"/>
          <w:color w:val="auto"/>
        </w:rPr>
        <w:endnoteReference w:id="60"/>
      </w:r>
      <w:r w:rsidRPr="00CF0A29">
        <w:rPr>
          <w:rFonts w:ascii="Palatino Linotype" w:eastAsia="MS PGothic" w:hAnsi="Palatino Linotype" w:cs="Palatino Linotype"/>
          <w:color w:val="auto"/>
        </w:rPr>
        <w:t xml:space="preserve">.   In the largest published HBOT trial to date </w:t>
      </w:r>
      <w:r w:rsidRPr="00CF0A29">
        <w:rPr>
          <w:rFonts w:ascii="Palatino Linotype" w:hAnsi="Palatino Linotype" w:cs="Palatino Linotype"/>
          <w:color w:val="auto"/>
          <w:shd w:val="clear" w:color="auto" w:fill="FFFFFF"/>
        </w:rPr>
        <w:t>significant cognitive improvements, and these improvements were well correlated with increased activity in the relevant </w:t>
      </w:r>
      <w:r w:rsidRPr="00CF0A29">
        <w:rPr>
          <w:rStyle w:val="highlight"/>
          <w:rFonts w:ascii="Palatino Linotype" w:hAnsi="Palatino Linotype" w:cs="Palatino Linotype"/>
          <w:color w:val="auto"/>
          <w:shd w:val="clear" w:color="auto" w:fill="FFFFFF"/>
        </w:rPr>
        <w:t>brain</w:t>
      </w:r>
      <w:r w:rsidRPr="00CF0A29">
        <w:rPr>
          <w:rFonts w:ascii="Palatino Linotype" w:hAnsi="Palatino Linotype" w:cs="Palatino Linotype"/>
          <w:color w:val="auto"/>
          <w:shd w:val="clear" w:color="auto" w:fill="FFFFFF"/>
        </w:rPr>
        <w:t> areas examined by SPECT.</w:t>
      </w:r>
      <w:r w:rsidRPr="00CF0A29">
        <w:rPr>
          <w:rStyle w:val="EndnoteReference"/>
          <w:rFonts w:ascii="Palatino Linotype" w:eastAsia="MS PGothic" w:hAnsi="Palatino Linotype"/>
          <w:color w:val="auto"/>
        </w:rPr>
        <w:endnoteReference w:id="61"/>
      </w:r>
    </w:p>
    <w:p w14:paraId="16A369BF" w14:textId="77777777" w:rsidR="004A70CE" w:rsidRPr="00FB4B07" w:rsidRDefault="004A70CE" w:rsidP="00FB4B07">
      <w:pPr>
        <w:rPr>
          <w:rFonts w:cstheme="minorHAnsi"/>
          <w:b/>
          <w:bCs/>
        </w:rPr>
      </w:pPr>
    </w:p>
    <w:p w14:paraId="49D8269F" w14:textId="678A3575" w:rsidR="004A70CE" w:rsidRPr="00B5560B" w:rsidRDefault="004A70CE" w:rsidP="00B5560B">
      <w:pPr>
        <w:rPr>
          <w:rFonts w:cstheme="minorHAnsi"/>
          <w:b/>
          <w:bCs/>
        </w:rPr>
      </w:pPr>
      <w:r w:rsidRPr="00B5560B">
        <w:rPr>
          <w:rFonts w:cstheme="minorHAnsi"/>
          <w:b/>
          <w:bCs/>
        </w:rPr>
        <w:t>Axonal disruption in TBI</w:t>
      </w:r>
      <w:r w:rsidR="00DF1947">
        <w:rPr>
          <w:rFonts w:cstheme="minorHAnsi"/>
          <w:b/>
          <w:bCs/>
        </w:rPr>
        <w:t>,</w:t>
      </w:r>
      <w:r w:rsidRPr="00B5560B">
        <w:rPr>
          <w:rFonts w:cstheme="minorHAnsi"/>
          <w:b/>
          <w:bCs/>
        </w:rPr>
        <w:t xml:space="preserve"> PTSD</w:t>
      </w:r>
      <w:r w:rsidR="00DF1947">
        <w:rPr>
          <w:rFonts w:cstheme="minorHAnsi"/>
          <w:b/>
          <w:bCs/>
        </w:rPr>
        <w:t>, and SCI</w:t>
      </w:r>
    </w:p>
    <w:p w14:paraId="57B37ACD" w14:textId="5948FC34" w:rsidR="00DF1947" w:rsidRDefault="004A70CE" w:rsidP="00DF1947">
      <w:pPr>
        <w:spacing w:after="0" w:line="240" w:lineRule="auto"/>
        <w:rPr>
          <w:rFonts w:cstheme="minorHAnsi"/>
        </w:rPr>
      </w:pPr>
      <w:r w:rsidRPr="00B5560B">
        <w:rPr>
          <w:rFonts w:cstheme="minorHAnsi"/>
        </w:rPr>
        <w:t>One of the characteristics of the damage sustained in TBI is diffuse axonal injury – a disruption of the brain and spinal cord signaling pathways</w:t>
      </w:r>
      <w:r>
        <w:rPr>
          <w:rStyle w:val="EndnoteReference"/>
          <w:rFonts w:cstheme="minorHAnsi"/>
        </w:rPr>
        <w:endnoteReference w:id="62"/>
      </w:r>
      <w:r w:rsidRPr="00B5560B">
        <w:rPr>
          <w:rFonts w:cstheme="minorHAnsi"/>
        </w:rPr>
        <w:t>.  This type of injury is also a component in decompression sickness</w:t>
      </w:r>
      <w:r>
        <w:rPr>
          <w:rStyle w:val="EndnoteReference"/>
          <w:rFonts w:cstheme="minorHAnsi"/>
        </w:rPr>
        <w:endnoteReference w:id="63"/>
      </w:r>
      <w:r w:rsidRPr="00B5560B">
        <w:rPr>
          <w:rFonts w:cstheme="minorHAnsi"/>
          <w:vertAlign w:val="superscript"/>
        </w:rPr>
        <w:t>,</w:t>
      </w:r>
      <w:r>
        <w:rPr>
          <w:rStyle w:val="EndnoteReference"/>
          <w:rFonts w:cstheme="minorHAnsi"/>
        </w:rPr>
        <w:endnoteReference w:id="64"/>
      </w:r>
      <w:r w:rsidRPr="00B5560B">
        <w:rPr>
          <w:rFonts w:cstheme="minorHAnsi"/>
        </w:rPr>
        <w:t>, major depressive disorder</w:t>
      </w:r>
      <w:r>
        <w:rPr>
          <w:rStyle w:val="EndnoteReference"/>
          <w:rFonts w:cstheme="minorHAnsi"/>
        </w:rPr>
        <w:endnoteReference w:id="65"/>
      </w:r>
      <w:r w:rsidRPr="00B5560B">
        <w:rPr>
          <w:rFonts w:cstheme="minorHAnsi"/>
        </w:rPr>
        <w:t>, and PTSD</w:t>
      </w:r>
      <w:r>
        <w:rPr>
          <w:rStyle w:val="EndnoteReference"/>
          <w:rFonts w:cstheme="minorHAnsi"/>
        </w:rPr>
        <w:endnoteReference w:id="66"/>
      </w:r>
      <w:r w:rsidRPr="00B5560B">
        <w:rPr>
          <w:rFonts w:cstheme="minorHAnsi"/>
          <w:vertAlign w:val="superscript"/>
        </w:rPr>
        <w:t>,</w:t>
      </w:r>
      <w:r>
        <w:rPr>
          <w:rStyle w:val="EndnoteReference"/>
          <w:rFonts w:cstheme="minorHAnsi"/>
        </w:rPr>
        <w:endnoteReference w:id="67"/>
      </w:r>
      <w:r w:rsidRPr="00B5560B">
        <w:rPr>
          <w:rFonts w:cstheme="minorHAnsi"/>
          <w:vertAlign w:val="superscript"/>
        </w:rPr>
        <w:t>,</w:t>
      </w:r>
      <w:r>
        <w:rPr>
          <w:rStyle w:val="EndnoteReference"/>
          <w:rFonts w:cstheme="minorHAnsi"/>
        </w:rPr>
        <w:endnoteReference w:id="68"/>
      </w:r>
      <w:r w:rsidRPr="00B5560B">
        <w:rPr>
          <w:rFonts w:cstheme="minorHAnsi"/>
        </w:rPr>
        <w:t>, and may account for some the commonality of symptoms between TBI and PTSD.  These altered pathways may also account for the symptoms of anxiety disorder</w:t>
      </w:r>
      <w:r>
        <w:rPr>
          <w:rStyle w:val="EndnoteReference"/>
          <w:rFonts w:cstheme="minorHAnsi"/>
        </w:rPr>
        <w:endnoteReference w:id="69"/>
      </w:r>
      <w:r w:rsidRPr="00B5560B">
        <w:rPr>
          <w:rFonts w:cstheme="minorHAnsi"/>
        </w:rPr>
        <w:t>. HBOT has been shown to help restore the function of damaged axonal pathways in COVID patients</w:t>
      </w:r>
      <w:r>
        <w:rPr>
          <w:rStyle w:val="EndnoteReference"/>
          <w:rFonts w:cstheme="minorHAnsi"/>
        </w:rPr>
        <w:endnoteReference w:id="70"/>
      </w:r>
      <w:r w:rsidRPr="00B5560B">
        <w:rPr>
          <w:rFonts w:cstheme="minorHAnsi"/>
        </w:rPr>
        <w:t>.  HBOT has been shown to improve neuroplasticity and restore damage brain connections in anoxic brain damage</w:t>
      </w:r>
      <w:r>
        <w:rPr>
          <w:rStyle w:val="EndnoteReference"/>
          <w:rFonts w:cstheme="minorHAnsi"/>
        </w:rPr>
        <w:endnoteReference w:id="71"/>
      </w:r>
      <w:r w:rsidRPr="00B5560B">
        <w:rPr>
          <w:rFonts w:cstheme="minorHAnsi"/>
        </w:rPr>
        <w:t xml:space="preserve">, and a variety of other varieties of brain damage </w:t>
      </w:r>
      <w:r w:rsidRPr="00B5560B">
        <w:rPr>
          <w:rFonts w:cstheme="minorHAnsi"/>
        </w:rPr>
        <w:lastRenderedPageBreak/>
        <w:t>in addition to PTSD and TBI</w:t>
      </w:r>
      <w:r>
        <w:rPr>
          <w:rStyle w:val="EndnoteReference"/>
          <w:rFonts w:cstheme="minorHAnsi"/>
        </w:rPr>
        <w:endnoteReference w:id="72"/>
      </w:r>
      <w:r w:rsidRPr="00B5560B">
        <w:rPr>
          <w:rFonts w:cstheme="minorHAnsi"/>
        </w:rPr>
        <w:t>.  In acute concussion, HBOT restores EG</w:t>
      </w:r>
      <w:r w:rsidR="009544E1">
        <w:rPr>
          <w:rFonts w:cstheme="minorHAnsi"/>
        </w:rPr>
        <w:t xml:space="preserve"> (electro-encephalogram)</w:t>
      </w:r>
      <w:r w:rsidRPr="00B5560B">
        <w:rPr>
          <w:rFonts w:cstheme="minorHAnsi"/>
        </w:rPr>
        <w:t xml:space="preserve"> findings to normal levels after </w:t>
      </w:r>
      <w:r w:rsidR="00BA7326">
        <w:rPr>
          <w:rFonts w:cstheme="minorHAnsi"/>
        </w:rPr>
        <w:t>two</w:t>
      </w:r>
      <w:r w:rsidRPr="00B5560B">
        <w:rPr>
          <w:rFonts w:cstheme="minorHAnsi"/>
        </w:rPr>
        <w:t xml:space="preserve"> to three treatments</w:t>
      </w:r>
      <w:r>
        <w:rPr>
          <w:rStyle w:val="EndnoteReference"/>
          <w:rFonts w:cstheme="minorHAnsi"/>
        </w:rPr>
        <w:endnoteReference w:id="73"/>
      </w:r>
      <w:r w:rsidRPr="00B5560B">
        <w:rPr>
          <w:rFonts w:cstheme="minorHAnsi"/>
        </w:rPr>
        <w:t>.</w:t>
      </w:r>
      <w:r w:rsidR="00DF1947">
        <w:rPr>
          <w:rFonts w:cstheme="minorHAnsi"/>
        </w:rPr>
        <w:t xml:space="preserve"> </w:t>
      </w:r>
    </w:p>
    <w:p w14:paraId="48B9C408" w14:textId="15554C0D" w:rsidR="00DF1947" w:rsidRPr="00ED5CB3" w:rsidRDefault="00DF1947" w:rsidP="00DF1947">
      <w:pPr>
        <w:spacing w:after="0" w:line="240" w:lineRule="auto"/>
        <w:rPr>
          <w:rFonts w:cstheme="minorHAnsi"/>
        </w:rPr>
      </w:pPr>
      <w:r>
        <w:rPr>
          <w:rFonts w:cstheme="minorHAnsi"/>
        </w:rPr>
        <w:t xml:space="preserve">Hyperbaric oxygen promotes axonal healing and reconnection by </w:t>
      </w:r>
      <w:r w:rsidRPr="00DF1947">
        <w:rPr>
          <w:rFonts w:cstheme="minorHAnsi"/>
        </w:rPr>
        <w:t>its anti-inflammatory actions,</w:t>
      </w:r>
      <w:r>
        <w:rPr>
          <w:rFonts w:cstheme="minorHAnsi"/>
          <w:b/>
          <w:bCs/>
        </w:rPr>
        <w:t xml:space="preserve"> </w:t>
      </w:r>
      <w:r>
        <w:rPr>
          <w:rFonts w:cstheme="minorHAnsi"/>
        </w:rPr>
        <w:t>inducing the ingrowth of new blood vessels to damage</w:t>
      </w:r>
      <w:r w:rsidR="009466BC">
        <w:rPr>
          <w:rFonts w:cstheme="minorHAnsi"/>
        </w:rPr>
        <w:t>d</w:t>
      </w:r>
      <w:r>
        <w:rPr>
          <w:rFonts w:cstheme="minorHAnsi"/>
        </w:rPr>
        <w:t xml:space="preserve"> areas of the brain and spinal cord (neo-angiogenesis), reducing edema, and inducing healing by </w:t>
      </w:r>
      <w:r w:rsidRPr="00DB365E">
        <w:rPr>
          <w:rFonts w:cstheme="minorHAnsi"/>
        </w:rPr>
        <w:t>growth factor activation</w:t>
      </w:r>
      <w:r w:rsidRPr="009466BC">
        <w:rPr>
          <w:rStyle w:val="EndnoteReference"/>
          <w:rFonts w:cstheme="minorHAnsi"/>
        </w:rPr>
        <w:endnoteReference w:id="74"/>
      </w:r>
      <w:r w:rsidRPr="009466BC">
        <w:rPr>
          <w:rStyle w:val="EndnoteReference"/>
          <w:rFonts w:cstheme="minorHAnsi"/>
        </w:rPr>
        <w:t>,</w:t>
      </w:r>
      <w:r w:rsidRPr="00DB365E">
        <w:rPr>
          <w:rStyle w:val="EndnoteReference"/>
          <w:rFonts w:cstheme="minorHAnsi"/>
        </w:rPr>
        <w:endnoteReference w:id="75"/>
      </w:r>
      <w:r w:rsidRPr="00DB365E">
        <w:rPr>
          <w:rFonts w:cstheme="minorHAnsi"/>
          <w:vertAlign w:val="superscript"/>
        </w:rPr>
        <w:t>,</w:t>
      </w:r>
      <w:r w:rsidRPr="00DB365E">
        <w:rPr>
          <w:rStyle w:val="EndnoteReference"/>
          <w:rFonts w:cstheme="minorHAnsi"/>
        </w:rPr>
        <w:endnoteReference w:id="76"/>
      </w:r>
      <w:r w:rsidRPr="00DB365E">
        <w:rPr>
          <w:rFonts w:cstheme="minorHAnsi"/>
          <w:vertAlign w:val="superscript"/>
        </w:rPr>
        <w:t>,</w:t>
      </w:r>
      <w:r w:rsidRPr="00DB365E">
        <w:rPr>
          <w:rStyle w:val="EndnoteReference"/>
          <w:rFonts w:cstheme="minorHAnsi"/>
        </w:rPr>
        <w:endnoteReference w:id="77"/>
      </w:r>
      <w:r w:rsidRPr="00DB365E">
        <w:rPr>
          <w:rFonts w:cstheme="minorHAnsi"/>
          <w:vertAlign w:val="superscript"/>
        </w:rPr>
        <w:t>,</w:t>
      </w:r>
      <w:r w:rsidRPr="00DB365E">
        <w:rPr>
          <w:rStyle w:val="EndnoteReference"/>
          <w:rFonts w:cstheme="minorHAnsi"/>
        </w:rPr>
        <w:endnoteReference w:id="78"/>
      </w:r>
      <w:r w:rsidR="00ED5CB3">
        <w:rPr>
          <w:rFonts w:cstheme="minorHAnsi"/>
        </w:rPr>
        <w:t>.</w:t>
      </w:r>
    </w:p>
    <w:p w14:paraId="3A0814B9" w14:textId="77777777" w:rsidR="00DF703F" w:rsidRDefault="00DF703F" w:rsidP="00DF1947">
      <w:pPr>
        <w:spacing w:after="0" w:line="240" w:lineRule="auto"/>
        <w:rPr>
          <w:rFonts w:cstheme="minorHAnsi"/>
        </w:rPr>
      </w:pPr>
    </w:p>
    <w:p w14:paraId="0D0BDE82" w14:textId="64274185" w:rsidR="004A70CE" w:rsidRPr="00DF703F" w:rsidRDefault="00DF1947" w:rsidP="008029FE">
      <w:pPr>
        <w:spacing w:after="0" w:line="240" w:lineRule="auto"/>
        <w:rPr>
          <w:rFonts w:cstheme="minorHAnsi"/>
        </w:rPr>
      </w:pPr>
      <w:r w:rsidRPr="00DF703F">
        <w:rPr>
          <w:rFonts w:cstheme="minorHAnsi"/>
        </w:rPr>
        <w:t xml:space="preserve">While to our knowledge HBOT has not been </w:t>
      </w:r>
      <w:r w:rsidR="00DF703F" w:rsidRPr="00DF703F">
        <w:rPr>
          <w:rFonts w:cstheme="minorHAnsi"/>
        </w:rPr>
        <w:t xml:space="preserve">used </w:t>
      </w:r>
      <w:r w:rsidRPr="00DF703F">
        <w:rPr>
          <w:rFonts w:cstheme="minorHAnsi"/>
        </w:rPr>
        <w:t>systematically for its ability to control inflammation in chronic SCI patients, we suspect it could prove beneficial in enhancing motor and sensory recovery, and most certainly could help by improving mood and cognitive function, in addition to the QoL</w:t>
      </w:r>
      <w:r w:rsidR="00976FEF">
        <w:rPr>
          <w:rFonts w:cstheme="minorHAnsi"/>
        </w:rPr>
        <w:t xml:space="preserve"> (quality of life)</w:t>
      </w:r>
      <w:r w:rsidRPr="00DF703F">
        <w:rPr>
          <w:rFonts w:cstheme="minorHAnsi"/>
        </w:rPr>
        <w:t xml:space="preserve"> for SCI survivors. </w:t>
      </w:r>
      <w:r w:rsidR="00DF703F" w:rsidRPr="00DF703F">
        <w:rPr>
          <w:rFonts w:cstheme="minorHAnsi"/>
        </w:rPr>
        <w:t xml:space="preserve"> </w:t>
      </w:r>
      <w:r w:rsidRPr="00DF703F">
        <w:rPr>
          <w:rFonts w:cstheme="minorHAnsi"/>
        </w:rPr>
        <w:t>It is now recognized that serious alterations of brain function occur after spinal cord injury, and these alterations contribute to cognitive and mood disorders seen in SCI</w:t>
      </w:r>
      <w:r w:rsidRPr="00DF703F">
        <w:rPr>
          <w:rStyle w:val="EndnoteReference"/>
          <w:rFonts w:cstheme="minorHAnsi"/>
        </w:rPr>
        <w:endnoteReference w:id="79"/>
      </w:r>
      <w:r w:rsidRPr="00DF703F">
        <w:rPr>
          <w:rFonts w:cstheme="minorHAnsi"/>
        </w:rPr>
        <w:t>.  In order to treat SCI effectively, the injury should be thought of as an interrelated complex of injuries and sequelae affecting multiple body systems.  Effective treatment must take into consideration the interplay of common contributors to dysfunction after SCI, and one of these is inflammation.</w:t>
      </w:r>
      <w:r w:rsidR="008029FE">
        <w:rPr>
          <w:rFonts w:cstheme="minorHAnsi"/>
        </w:rPr>
        <w:t xml:space="preserve">  </w:t>
      </w:r>
      <w:r w:rsidR="0072265D" w:rsidRPr="00DF703F">
        <w:rPr>
          <w:rFonts w:cstheme="minorHAnsi"/>
        </w:rPr>
        <w:t>Encouraging new research from China is showing that HBOT after spinal cord injury can reduce inflammation and pain, increase cognition and quality of life, and is some instances diminish disability and promote return of motor function</w:t>
      </w:r>
      <w:r w:rsidR="0072265D" w:rsidRPr="00DF703F">
        <w:rPr>
          <w:rStyle w:val="EndnoteReference"/>
          <w:rFonts w:cstheme="minorHAnsi"/>
        </w:rPr>
        <w:endnoteReference w:id="80"/>
      </w:r>
      <w:r w:rsidR="0072265D" w:rsidRPr="00DF703F">
        <w:rPr>
          <w:rFonts w:cstheme="minorHAnsi"/>
          <w:vertAlign w:val="superscript"/>
        </w:rPr>
        <w:t>,</w:t>
      </w:r>
      <w:r w:rsidR="0072265D" w:rsidRPr="00DF703F">
        <w:rPr>
          <w:rStyle w:val="EndnoteReference"/>
          <w:rFonts w:cstheme="minorHAnsi"/>
        </w:rPr>
        <w:endnoteReference w:id="81"/>
      </w:r>
      <w:r w:rsidR="0072265D" w:rsidRPr="00DF703F">
        <w:rPr>
          <w:rFonts w:cstheme="minorHAnsi"/>
        </w:rPr>
        <w:t xml:space="preserve">.  </w:t>
      </w:r>
    </w:p>
    <w:p w14:paraId="2C3CD228" w14:textId="77777777" w:rsidR="0072265D" w:rsidRPr="00DF703F" w:rsidRDefault="0072265D" w:rsidP="00DF1947">
      <w:pPr>
        <w:shd w:val="clear" w:color="auto" w:fill="FFFFFF"/>
        <w:spacing w:after="0" w:line="240" w:lineRule="auto"/>
        <w:rPr>
          <w:rFonts w:cstheme="minorHAnsi"/>
          <w:b/>
          <w:bCs/>
        </w:rPr>
      </w:pPr>
    </w:p>
    <w:p w14:paraId="3B269D3A" w14:textId="0B1574AA" w:rsidR="00DF703F" w:rsidRDefault="00DF703F" w:rsidP="0045314D">
      <w:pPr>
        <w:rPr>
          <w:rFonts w:cstheme="minorHAnsi"/>
          <w:b/>
          <w:bCs/>
        </w:rPr>
      </w:pPr>
      <w:r>
        <w:rPr>
          <w:rFonts w:cstheme="minorHAnsi"/>
          <w:b/>
          <w:bCs/>
        </w:rPr>
        <w:t xml:space="preserve">HBOT as an </w:t>
      </w:r>
      <w:r w:rsidR="00372DA3">
        <w:rPr>
          <w:rFonts w:cstheme="minorHAnsi"/>
          <w:b/>
          <w:bCs/>
        </w:rPr>
        <w:t>a</w:t>
      </w:r>
      <w:r>
        <w:rPr>
          <w:rFonts w:cstheme="minorHAnsi"/>
          <w:b/>
          <w:bCs/>
        </w:rPr>
        <w:t>nti-</w:t>
      </w:r>
      <w:r w:rsidR="00372DA3">
        <w:rPr>
          <w:rFonts w:cstheme="minorHAnsi"/>
          <w:b/>
          <w:bCs/>
        </w:rPr>
        <w:t>i</w:t>
      </w:r>
      <w:r>
        <w:rPr>
          <w:rFonts w:cstheme="minorHAnsi"/>
          <w:b/>
          <w:bCs/>
        </w:rPr>
        <w:t>nflammatory treatment</w:t>
      </w:r>
    </w:p>
    <w:p w14:paraId="38354049" w14:textId="5C08F339" w:rsidR="00DF703F" w:rsidRDefault="00AD6DAF" w:rsidP="00372DA3">
      <w:pPr>
        <w:rPr>
          <w:rFonts w:cstheme="minorHAnsi"/>
          <w:b/>
          <w:bCs/>
        </w:rPr>
      </w:pPr>
      <w:r w:rsidRPr="00131FE1">
        <w:rPr>
          <w:rFonts w:cstheme="minorHAnsi"/>
          <w:sz w:val="22"/>
          <w:szCs w:val="22"/>
        </w:rPr>
        <w:t>One of the most powerful agents we possess for reduction of inflammation is hyperbaric oxygen</w:t>
      </w:r>
      <w:r w:rsidRPr="00131FE1">
        <w:rPr>
          <w:rStyle w:val="EndnoteReference"/>
          <w:rFonts w:cstheme="minorHAnsi"/>
          <w:sz w:val="22"/>
          <w:szCs w:val="22"/>
        </w:rPr>
        <w:endnoteReference w:id="82"/>
      </w:r>
      <w:r>
        <w:rPr>
          <w:rFonts w:cstheme="minorHAnsi"/>
          <w:sz w:val="22"/>
          <w:szCs w:val="22"/>
          <w:vertAlign w:val="superscript"/>
        </w:rPr>
        <w:t>,</w:t>
      </w:r>
      <w:r>
        <w:rPr>
          <w:rStyle w:val="EndnoteReference"/>
          <w:rFonts w:cstheme="minorHAnsi"/>
          <w:sz w:val="22"/>
          <w:szCs w:val="22"/>
        </w:rPr>
        <w:endnoteReference w:id="83"/>
      </w:r>
      <w:r w:rsidRPr="00131FE1">
        <w:rPr>
          <w:rFonts w:cstheme="minorHAnsi"/>
          <w:sz w:val="22"/>
          <w:szCs w:val="22"/>
        </w:rPr>
        <w:t xml:space="preserve">.  </w:t>
      </w:r>
      <w:r w:rsidR="003E3919">
        <w:rPr>
          <w:rFonts w:cstheme="minorHAnsi"/>
          <w:sz w:val="22"/>
          <w:szCs w:val="22"/>
        </w:rPr>
        <w:t>It</w:t>
      </w:r>
      <w:r w:rsidR="003E3919" w:rsidRPr="003E3919">
        <w:rPr>
          <w:rFonts w:cstheme="minorHAnsi"/>
          <w:sz w:val="22"/>
          <w:szCs w:val="22"/>
        </w:rPr>
        <w:t xml:space="preserve"> reduces inflammatory cytokines </w:t>
      </w:r>
      <w:r w:rsidR="003E3919">
        <w:rPr>
          <w:rFonts w:cstheme="minorHAnsi"/>
          <w:sz w:val="22"/>
          <w:szCs w:val="22"/>
        </w:rPr>
        <w:t>such as</w:t>
      </w:r>
      <w:r w:rsidR="003E3919" w:rsidRPr="003E3919">
        <w:rPr>
          <w:rFonts w:cstheme="minorHAnsi"/>
          <w:sz w:val="22"/>
          <w:szCs w:val="22"/>
        </w:rPr>
        <w:t xml:space="preserve"> IL-1, IL-6, and TNF-α, while increasing anti-inflammatory cytokine</w:t>
      </w:r>
      <w:r w:rsidR="00C52C47">
        <w:rPr>
          <w:rFonts w:cstheme="minorHAnsi"/>
          <w:sz w:val="22"/>
          <w:szCs w:val="22"/>
        </w:rPr>
        <w:t>s such as</w:t>
      </w:r>
      <w:r w:rsidR="003E3919" w:rsidRPr="003E3919">
        <w:rPr>
          <w:rFonts w:cstheme="minorHAnsi"/>
          <w:sz w:val="22"/>
          <w:szCs w:val="22"/>
        </w:rPr>
        <w:t xml:space="preserve"> IL-10</w:t>
      </w:r>
      <w:r w:rsidR="00C52C47">
        <w:rPr>
          <w:rStyle w:val="EndnoteReference"/>
          <w:rFonts w:cstheme="minorHAnsi"/>
          <w:sz w:val="22"/>
          <w:szCs w:val="22"/>
        </w:rPr>
        <w:endnoteReference w:id="84"/>
      </w:r>
      <w:r w:rsidR="00DF02B5">
        <w:rPr>
          <w:rFonts w:cstheme="minorHAnsi"/>
          <w:sz w:val="22"/>
          <w:szCs w:val="22"/>
          <w:vertAlign w:val="superscript"/>
        </w:rPr>
        <w:t>,</w:t>
      </w:r>
      <w:r w:rsidR="00DF02B5">
        <w:rPr>
          <w:rStyle w:val="EndnoteReference"/>
          <w:rFonts w:cstheme="minorHAnsi"/>
          <w:sz w:val="22"/>
          <w:szCs w:val="22"/>
        </w:rPr>
        <w:endnoteReference w:id="85"/>
      </w:r>
      <w:r w:rsidR="00DF02B5">
        <w:rPr>
          <w:rFonts w:cstheme="minorHAnsi"/>
          <w:sz w:val="22"/>
          <w:szCs w:val="22"/>
          <w:vertAlign w:val="superscript"/>
        </w:rPr>
        <w:t>,</w:t>
      </w:r>
      <w:r w:rsidR="00DF02B5">
        <w:rPr>
          <w:rStyle w:val="EndnoteReference"/>
          <w:rFonts w:cstheme="minorHAnsi"/>
          <w:sz w:val="22"/>
          <w:szCs w:val="22"/>
        </w:rPr>
        <w:endnoteReference w:id="86"/>
      </w:r>
      <w:r w:rsidR="003E3919" w:rsidRPr="003E3919">
        <w:rPr>
          <w:rFonts w:cstheme="minorHAnsi"/>
          <w:sz w:val="22"/>
          <w:szCs w:val="22"/>
        </w:rPr>
        <w:t>.</w:t>
      </w:r>
      <w:r w:rsidR="00C52C47">
        <w:rPr>
          <w:rFonts w:cstheme="minorHAnsi"/>
          <w:sz w:val="22"/>
          <w:szCs w:val="22"/>
        </w:rPr>
        <w:t xml:space="preserve"> </w:t>
      </w:r>
      <w:r w:rsidR="00954C8C">
        <w:rPr>
          <w:rFonts w:cstheme="minorHAnsi"/>
          <w:sz w:val="22"/>
          <w:szCs w:val="22"/>
        </w:rPr>
        <w:t xml:space="preserve">HBO has anti-apoptotic </w:t>
      </w:r>
      <w:r w:rsidR="00D56E0D">
        <w:rPr>
          <w:rFonts w:cstheme="minorHAnsi"/>
          <w:sz w:val="22"/>
          <w:szCs w:val="22"/>
        </w:rPr>
        <w:t xml:space="preserve">(cell death) </w:t>
      </w:r>
      <w:r w:rsidR="00954C8C">
        <w:rPr>
          <w:rFonts w:cstheme="minorHAnsi"/>
          <w:sz w:val="22"/>
          <w:szCs w:val="22"/>
        </w:rPr>
        <w:t>effects which assist damaged nerve cells to recover rather than progress to cell death.  These effects are seen in the brain and spinal cord</w:t>
      </w:r>
      <w:r w:rsidR="00954C8C">
        <w:rPr>
          <w:rStyle w:val="EndnoteReference"/>
          <w:rFonts w:cstheme="minorHAnsi"/>
          <w:sz w:val="22"/>
          <w:szCs w:val="22"/>
        </w:rPr>
        <w:endnoteReference w:id="87"/>
      </w:r>
      <w:r w:rsidR="00954C8C">
        <w:rPr>
          <w:rFonts w:cstheme="minorHAnsi"/>
          <w:sz w:val="22"/>
          <w:szCs w:val="22"/>
          <w:vertAlign w:val="superscript"/>
        </w:rPr>
        <w:t>,</w:t>
      </w:r>
      <w:r w:rsidR="00954C8C">
        <w:rPr>
          <w:rStyle w:val="EndnoteReference"/>
          <w:rFonts w:cstheme="minorHAnsi"/>
          <w:sz w:val="22"/>
          <w:szCs w:val="22"/>
        </w:rPr>
        <w:endnoteReference w:id="88"/>
      </w:r>
      <w:r w:rsidR="00954C8C">
        <w:rPr>
          <w:rFonts w:cstheme="minorHAnsi"/>
          <w:sz w:val="22"/>
          <w:szCs w:val="22"/>
        </w:rPr>
        <w:t>.</w:t>
      </w:r>
      <w:r w:rsidR="009077DE">
        <w:rPr>
          <w:rFonts w:cstheme="minorHAnsi"/>
          <w:sz w:val="22"/>
          <w:szCs w:val="22"/>
        </w:rPr>
        <w:t xml:space="preserve">  As an example of these effects, </w:t>
      </w:r>
      <w:r w:rsidRPr="00131FE1">
        <w:rPr>
          <w:rFonts w:cstheme="minorHAnsi"/>
          <w:sz w:val="22"/>
          <w:szCs w:val="22"/>
        </w:rPr>
        <w:t>SCI patients receiving HBOT were reported to have reduced levels of biomarkers of inflammation which correlate</w:t>
      </w:r>
      <w:r w:rsidR="00D154F2">
        <w:rPr>
          <w:rFonts w:cstheme="minorHAnsi"/>
          <w:sz w:val="22"/>
          <w:szCs w:val="22"/>
        </w:rPr>
        <w:t>s</w:t>
      </w:r>
      <w:r w:rsidRPr="00131FE1">
        <w:rPr>
          <w:rFonts w:cstheme="minorHAnsi"/>
          <w:sz w:val="22"/>
          <w:szCs w:val="22"/>
        </w:rPr>
        <w:t xml:space="preserve"> with significant improvement in motor/pain scores after 30 </w:t>
      </w:r>
      <w:r w:rsidR="00D56E0D">
        <w:rPr>
          <w:rFonts w:cstheme="minorHAnsi"/>
          <w:sz w:val="22"/>
          <w:szCs w:val="22"/>
        </w:rPr>
        <w:t>treatments</w:t>
      </w:r>
      <w:r w:rsidRPr="00131FE1">
        <w:rPr>
          <w:rStyle w:val="EndnoteReference"/>
          <w:rFonts w:cstheme="minorHAnsi"/>
          <w:sz w:val="22"/>
          <w:szCs w:val="22"/>
        </w:rPr>
        <w:endnoteReference w:id="89"/>
      </w:r>
      <w:r w:rsidRPr="00131FE1">
        <w:rPr>
          <w:rFonts w:cstheme="minorHAnsi"/>
          <w:sz w:val="22"/>
          <w:szCs w:val="22"/>
        </w:rPr>
        <w:t xml:space="preserve">.  </w:t>
      </w:r>
    </w:p>
    <w:p w14:paraId="77E446B0" w14:textId="69E98835" w:rsidR="004A70CE" w:rsidRDefault="004A70CE" w:rsidP="0045314D">
      <w:pPr>
        <w:rPr>
          <w:rFonts w:cstheme="minorHAnsi"/>
          <w:b/>
          <w:bCs/>
        </w:rPr>
      </w:pPr>
      <w:r w:rsidRPr="00B5560B">
        <w:rPr>
          <w:rFonts w:cstheme="minorHAnsi"/>
          <w:b/>
          <w:bCs/>
        </w:rPr>
        <w:t xml:space="preserve">Inflammation </w:t>
      </w:r>
      <w:r>
        <w:rPr>
          <w:rFonts w:cstheme="minorHAnsi"/>
          <w:b/>
          <w:bCs/>
        </w:rPr>
        <w:t>i</w:t>
      </w:r>
      <w:r w:rsidRPr="00CA5754">
        <w:rPr>
          <w:rFonts w:cstheme="minorHAnsi"/>
          <w:b/>
          <w:bCs/>
        </w:rPr>
        <w:t xml:space="preserve">n </w:t>
      </w:r>
      <w:r w:rsidR="00372DA3">
        <w:rPr>
          <w:rFonts w:cstheme="minorHAnsi"/>
          <w:b/>
          <w:bCs/>
        </w:rPr>
        <w:t>d</w:t>
      </w:r>
      <w:r w:rsidRPr="00CA5754">
        <w:rPr>
          <w:rFonts w:cstheme="minorHAnsi"/>
          <w:b/>
          <w:bCs/>
        </w:rPr>
        <w:t>epression</w:t>
      </w:r>
    </w:p>
    <w:p w14:paraId="092A4561" w14:textId="613031EE" w:rsidR="004A70CE" w:rsidRPr="001F23A8" w:rsidRDefault="004A70CE" w:rsidP="001F23A8">
      <w:pPr>
        <w:rPr>
          <w:rFonts w:cstheme="minorHAnsi"/>
        </w:rPr>
      </w:pPr>
      <w:r w:rsidRPr="001F23A8">
        <w:rPr>
          <w:rFonts w:cstheme="minorHAnsi"/>
        </w:rPr>
        <w:t>Treatment resistant depression has been linked to chronic inflammation which in turn causes blood brain barrier dysfunction and neurodegeneration</w:t>
      </w:r>
      <w:r>
        <w:rPr>
          <w:rStyle w:val="EndnoteReference"/>
          <w:rFonts w:cstheme="minorHAnsi"/>
        </w:rPr>
        <w:endnoteReference w:id="90"/>
      </w:r>
      <w:r w:rsidRPr="001F23A8">
        <w:rPr>
          <w:rFonts w:cstheme="minorHAnsi"/>
        </w:rPr>
        <w:t>.  Inflammation can drive depressive symptoms and depression may result in inflammation itself</w:t>
      </w:r>
      <w:r>
        <w:rPr>
          <w:rStyle w:val="EndnoteReference"/>
          <w:rFonts w:cstheme="minorHAnsi"/>
        </w:rPr>
        <w:endnoteReference w:id="91"/>
      </w:r>
      <w:r w:rsidRPr="001F23A8">
        <w:rPr>
          <w:rFonts w:cstheme="minorHAnsi"/>
        </w:rPr>
        <w:t xml:space="preserve">.  </w:t>
      </w:r>
      <w:r w:rsidRPr="001F23A8">
        <w:rPr>
          <w:rFonts w:cstheme="minorHAnsi"/>
        </w:rPr>
        <w:lastRenderedPageBreak/>
        <w:t xml:space="preserve">Inflammatory cytokines are elevated in treatment resistant depression, and it is thought that treatment failures are at least partly due to the failure of treatment to reduce these inflammation driving agents </w:t>
      </w:r>
      <w:r w:rsidR="00323C92">
        <w:rPr>
          <w:rFonts w:cstheme="minorHAnsi"/>
        </w:rPr>
        <w:t xml:space="preserve">whether treatment consists of a single drug </w:t>
      </w:r>
      <w:r w:rsidRPr="001F23A8">
        <w:rPr>
          <w:rFonts w:cstheme="minorHAnsi"/>
        </w:rPr>
        <w:t>or a multi-factor treatment regimen</w:t>
      </w:r>
      <w:r>
        <w:rPr>
          <w:rStyle w:val="EndnoteReference"/>
          <w:rFonts w:cstheme="minorHAnsi"/>
        </w:rPr>
        <w:endnoteReference w:id="92"/>
      </w:r>
      <w:r w:rsidRPr="001F23A8">
        <w:rPr>
          <w:rFonts w:cstheme="minorHAnsi"/>
        </w:rPr>
        <w:t>. Interestingly, a number of anti-inflammatory agents have shown promise in treating depression</w:t>
      </w:r>
      <w:r>
        <w:rPr>
          <w:rStyle w:val="EndnoteReference"/>
          <w:rFonts w:cstheme="minorHAnsi"/>
        </w:rPr>
        <w:endnoteReference w:id="93"/>
      </w:r>
      <w:r w:rsidRPr="001F23A8">
        <w:rPr>
          <w:rFonts w:cstheme="minorHAnsi"/>
          <w:vertAlign w:val="superscript"/>
        </w:rPr>
        <w:t>,</w:t>
      </w:r>
      <w:r>
        <w:rPr>
          <w:rStyle w:val="EndnoteReference"/>
          <w:rFonts w:cstheme="minorHAnsi"/>
        </w:rPr>
        <w:endnoteReference w:id="94"/>
      </w:r>
      <w:r w:rsidRPr="001F23A8">
        <w:rPr>
          <w:rFonts w:cstheme="minorHAnsi"/>
        </w:rPr>
        <w:t>.</w:t>
      </w:r>
    </w:p>
    <w:p w14:paraId="6329D35D" w14:textId="31801EE3" w:rsidR="004A70CE" w:rsidRPr="008029FE" w:rsidRDefault="004A70CE" w:rsidP="0045314D">
      <w:pPr>
        <w:rPr>
          <w:rFonts w:cstheme="minorHAnsi"/>
          <w:b/>
          <w:bCs/>
        </w:rPr>
      </w:pPr>
      <w:r w:rsidRPr="008029FE">
        <w:rPr>
          <w:rFonts w:cstheme="minorHAnsi"/>
          <w:b/>
          <w:bCs/>
        </w:rPr>
        <w:t>Inflammation in PTSD</w:t>
      </w:r>
    </w:p>
    <w:p w14:paraId="2CFF911B" w14:textId="5422037D" w:rsidR="004A70CE" w:rsidRPr="00FD03D8" w:rsidRDefault="004A70CE" w:rsidP="00FD03D8">
      <w:pPr>
        <w:rPr>
          <w:rFonts w:cstheme="minorHAnsi"/>
        </w:rPr>
      </w:pPr>
      <w:r w:rsidRPr="00CA63DC">
        <w:rPr>
          <w:rFonts w:cstheme="minorHAnsi"/>
        </w:rPr>
        <w:t>33% of veterans with PTSD are resistant to therapy and for others the</w:t>
      </w:r>
      <w:r w:rsidR="00B347CD">
        <w:rPr>
          <w:rFonts w:cstheme="minorHAnsi"/>
        </w:rPr>
        <w:t xml:space="preserve"> standard</w:t>
      </w:r>
      <w:r w:rsidRPr="00CA63DC">
        <w:rPr>
          <w:rFonts w:cstheme="minorHAnsi"/>
        </w:rPr>
        <w:t xml:space="preserve"> therapies are only partially effective</w:t>
      </w:r>
      <w:r w:rsidRPr="00CA63DC">
        <w:rPr>
          <w:rStyle w:val="EndnoteReference"/>
          <w:rFonts w:cstheme="minorHAnsi"/>
        </w:rPr>
        <w:endnoteReference w:id="95"/>
      </w:r>
      <w:r w:rsidR="00B347CD">
        <w:rPr>
          <w:rFonts w:cstheme="minorHAnsi"/>
        </w:rPr>
        <w:t>. The high rate of treatment failure is driving a search for new therapies</w:t>
      </w:r>
      <w:r w:rsidRPr="00CA63DC">
        <w:rPr>
          <w:rStyle w:val="EndnoteReference"/>
          <w:rFonts w:cstheme="minorHAnsi"/>
        </w:rPr>
        <w:endnoteReference w:id="96"/>
      </w:r>
      <w:r w:rsidRPr="00CA63DC">
        <w:rPr>
          <w:rFonts w:cstheme="minorHAnsi"/>
        </w:rPr>
        <w:t>.</w:t>
      </w:r>
      <w:r>
        <w:rPr>
          <w:rFonts w:cstheme="minorHAnsi"/>
          <w:sz w:val="22"/>
          <w:szCs w:val="22"/>
        </w:rPr>
        <w:t xml:space="preserve"> </w:t>
      </w:r>
      <w:r w:rsidRPr="00FD03D8">
        <w:rPr>
          <w:rFonts w:cstheme="minorHAnsi"/>
        </w:rPr>
        <w:t>PTSD i</w:t>
      </w:r>
      <w:r>
        <w:rPr>
          <w:rFonts w:cstheme="minorHAnsi"/>
        </w:rPr>
        <w:t>s</w:t>
      </w:r>
      <w:r w:rsidRPr="00FD03D8">
        <w:rPr>
          <w:rFonts w:cstheme="minorHAnsi"/>
        </w:rPr>
        <w:t xml:space="preserve"> marked by inflammatory cytokine dysregulation and a chronic inflammatory state, and it is thought that inflammation may play a role in the pathogenesis of PTSD</w:t>
      </w:r>
      <w:r>
        <w:rPr>
          <w:rStyle w:val="EndnoteReference"/>
          <w:rFonts w:cstheme="minorHAnsi"/>
        </w:rPr>
        <w:endnoteReference w:id="97"/>
      </w:r>
      <w:r w:rsidRPr="00FD03D8">
        <w:rPr>
          <w:rFonts w:cstheme="minorHAnsi"/>
        </w:rPr>
        <w:t>.  PTSD is also strongly associated with major depressive disorder</w:t>
      </w:r>
      <w:r w:rsidR="00B347CD">
        <w:rPr>
          <w:rFonts w:cstheme="minorHAnsi"/>
        </w:rPr>
        <w:t xml:space="preserve"> (MDD)</w:t>
      </w:r>
      <w:r>
        <w:rPr>
          <w:rStyle w:val="EndnoteReference"/>
          <w:rFonts w:cstheme="minorHAnsi"/>
        </w:rPr>
        <w:endnoteReference w:id="98"/>
      </w:r>
      <w:r w:rsidRPr="00FD03D8">
        <w:rPr>
          <w:rFonts w:cstheme="minorHAnsi"/>
        </w:rPr>
        <w:t>.  Elevated inflammatory cytokines are a hallmark of PTSD</w:t>
      </w:r>
      <w:r w:rsidR="00B347CD">
        <w:rPr>
          <w:rFonts w:cstheme="minorHAnsi"/>
        </w:rPr>
        <w:t>, and MDD</w:t>
      </w:r>
      <w:r>
        <w:rPr>
          <w:rStyle w:val="EndnoteReference"/>
          <w:rFonts w:cstheme="minorHAnsi"/>
        </w:rPr>
        <w:endnoteReference w:id="99"/>
      </w:r>
      <w:r w:rsidRPr="00FD03D8">
        <w:rPr>
          <w:rFonts w:cstheme="minorHAnsi"/>
          <w:vertAlign w:val="superscript"/>
        </w:rPr>
        <w:t>,</w:t>
      </w:r>
      <w:r>
        <w:rPr>
          <w:rStyle w:val="EndnoteReference"/>
          <w:rFonts w:cstheme="minorHAnsi"/>
        </w:rPr>
        <w:endnoteReference w:id="100"/>
      </w:r>
      <w:r w:rsidRPr="00FD03D8">
        <w:rPr>
          <w:rFonts w:cstheme="minorHAnsi"/>
        </w:rPr>
        <w:t>.  High inflammatory biomarkers are associated with co-morbidity in TBI and PTSD in military members, and higher levels of these biomarkers are associated with higher levels of PTSD</w:t>
      </w:r>
      <w:r>
        <w:rPr>
          <w:rStyle w:val="EndnoteReference"/>
          <w:rFonts w:cstheme="minorHAnsi"/>
        </w:rPr>
        <w:endnoteReference w:id="101"/>
      </w:r>
      <w:r w:rsidRPr="00FD03D8">
        <w:rPr>
          <w:rFonts w:cstheme="minorHAnsi"/>
        </w:rPr>
        <w:t>.</w:t>
      </w:r>
      <w:r w:rsidR="001A295C">
        <w:rPr>
          <w:rFonts w:cstheme="minorHAnsi"/>
        </w:rPr>
        <w:t xml:space="preserve"> </w:t>
      </w:r>
    </w:p>
    <w:p w14:paraId="2128CFBE" w14:textId="05B060B4" w:rsidR="004A70CE" w:rsidRPr="0045314D" w:rsidRDefault="004A70CE" w:rsidP="0045314D">
      <w:pPr>
        <w:rPr>
          <w:rFonts w:cstheme="minorHAnsi"/>
          <w:b/>
          <w:bCs/>
        </w:rPr>
      </w:pPr>
      <w:r w:rsidRPr="0045314D">
        <w:rPr>
          <w:rFonts w:cstheme="minorHAnsi"/>
          <w:b/>
          <w:bCs/>
        </w:rPr>
        <w:t>Inflammation in TBI</w:t>
      </w:r>
    </w:p>
    <w:p w14:paraId="051FDCF2" w14:textId="67D6AF9B" w:rsidR="004A70CE" w:rsidRPr="00FD03D8" w:rsidRDefault="004A70CE" w:rsidP="00FD03D8">
      <w:pPr>
        <w:rPr>
          <w:rFonts w:cstheme="minorHAnsi"/>
          <w:b/>
          <w:bCs/>
        </w:rPr>
      </w:pPr>
      <w:r w:rsidRPr="00FD03D8">
        <w:rPr>
          <w:rFonts w:cstheme="minorHAnsi"/>
        </w:rPr>
        <w:t>After a TBI, genes are expressed resulting in an inflammatory cascade, and this inflammation contributes to the severity and duration of the TBI</w:t>
      </w:r>
      <w:r>
        <w:rPr>
          <w:rStyle w:val="EndnoteReference"/>
          <w:rFonts w:cstheme="minorHAnsi"/>
        </w:rPr>
        <w:endnoteReference w:id="102"/>
      </w:r>
      <w:r w:rsidRPr="00FD03D8">
        <w:rPr>
          <w:rFonts w:cstheme="minorHAnsi"/>
        </w:rPr>
        <w:t>. This inflammation can increase over time leading to increased symptoms of brain injury and worsening neurologic function</w:t>
      </w:r>
      <w:r>
        <w:rPr>
          <w:rStyle w:val="EndnoteReference"/>
          <w:rFonts w:cstheme="minorHAnsi"/>
        </w:rPr>
        <w:endnoteReference w:id="103"/>
      </w:r>
      <w:r w:rsidRPr="00FD03D8">
        <w:rPr>
          <w:rFonts w:cstheme="minorHAnsi"/>
        </w:rPr>
        <w:t>.</w:t>
      </w:r>
      <w:r w:rsidR="003F5B40">
        <w:rPr>
          <w:rFonts w:cstheme="minorHAnsi"/>
        </w:rPr>
        <w:t xml:space="preserve">  This can result in cognitive decline, mood changes, sleep disturbances, chronic pain, and depression.</w:t>
      </w:r>
    </w:p>
    <w:p w14:paraId="0089296E" w14:textId="5A7A8CF1" w:rsidR="004A70CE" w:rsidRPr="0045314D" w:rsidRDefault="004A70CE" w:rsidP="0045314D">
      <w:pPr>
        <w:rPr>
          <w:rFonts w:cstheme="minorHAnsi"/>
          <w:b/>
          <w:bCs/>
        </w:rPr>
      </w:pPr>
      <w:r w:rsidRPr="0045314D">
        <w:rPr>
          <w:rFonts w:cstheme="minorHAnsi"/>
          <w:b/>
          <w:bCs/>
        </w:rPr>
        <w:t xml:space="preserve">Inflammation in </w:t>
      </w:r>
      <w:r w:rsidR="00372DA3" w:rsidRPr="0045314D">
        <w:rPr>
          <w:rFonts w:cstheme="minorHAnsi"/>
          <w:b/>
          <w:bCs/>
        </w:rPr>
        <w:t>s</w:t>
      </w:r>
      <w:r w:rsidRPr="0045314D">
        <w:rPr>
          <w:rFonts w:cstheme="minorHAnsi"/>
          <w:b/>
          <w:bCs/>
        </w:rPr>
        <w:t xml:space="preserve">pinal </w:t>
      </w:r>
      <w:r w:rsidR="00372DA3" w:rsidRPr="0045314D">
        <w:rPr>
          <w:rFonts w:cstheme="minorHAnsi"/>
          <w:b/>
          <w:bCs/>
        </w:rPr>
        <w:t>c</w:t>
      </w:r>
      <w:r w:rsidRPr="0045314D">
        <w:rPr>
          <w:rFonts w:cstheme="minorHAnsi"/>
          <w:b/>
          <w:bCs/>
        </w:rPr>
        <w:t xml:space="preserve">ord </w:t>
      </w:r>
      <w:r w:rsidR="00372DA3" w:rsidRPr="0045314D">
        <w:rPr>
          <w:rFonts w:cstheme="minorHAnsi"/>
          <w:b/>
          <w:bCs/>
        </w:rPr>
        <w:t>i</w:t>
      </w:r>
      <w:r w:rsidRPr="0045314D">
        <w:rPr>
          <w:rFonts w:cstheme="minorHAnsi"/>
          <w:b/>
          <w:bCs/>
        </w:rPr>
        <w:t>njury</w:t>
      </w:r>
    </w:p>
    <w:p w14:paraId="2AFB1D25" w14:textId="3FB01B27" w:rsidR="004A70CE" w:rsidRPr="003F5B40" w:rsidRDefault="004A70CE" w:rsidP="00FD03D8">
      <w:pPr>
        <w:shd w:val="clear" w:color="auto" w:fill="FFFFFF"/>
        <w:spacing w:before="100" w:beforeAutospacing="1" w:after="0" w:line="240" w:lineRule="auto"/>
        <w:rPr>
          <w:rFonts w:cstheme="minorHAnsi"/>
          <w:lang w:val="en"/>
        </w:rPr>
      </w:pPr>
      <w:r w:rsidRPr="003F5B40">
        <w:rPr>
          <w:rFonts w:cstheme="minorHAnsi"/>
        </w:rPr>
        <w:t>It is now recognized that serious alterations of brain function occur after spinal cord injury, and these alterations contribute to cognitive and mood disorders seen in SCI</w:t>
      </w:r>
      <w:r w:rsidRPr="003F5B40">
        <w:rPr>
          <w:rStyle w:val="EndnoteReference"/>
          <w:rFonts w:cstheme="minorHAnsi"/>
        </w:rPr>
        <w:endnoteReference w:id="104"/>
      </w:r>
      <w:r w:rsidRPr="003F5B40">
        <w:rPr>
          <w:rFonts w:cstheme="minorHAnsi"/>
        </w:rPr>
        <w:t>.  One of the common contributors to dysfunction after SCI is inflammation. The long-term sequelae of spinal cord injury are often chronic pain, depression (in more than half of individuals with SCI), deterioration of motor function</w:t>
      </w:r>
      <w:r w:rsidRPr="003F5B40">
        <w:rPr>
          <w:rStyle w:val="EndnoteReference"/>
          <w:rFonts w:cstheme="minorHAnsi"/>
        </w:rPr>
        <w:endnoteReference w:id="105"/>
      </w:r>
      <w:r w:rsidRPr="003F5B40">
        <w:rPr>
          <w:rFonts w:cstheme="minorHAnsi"/>
        </w:rPr>
        <w:t>, PTSD (31%)</w:t>
      </w:r>
      <w:r w:rsidRPr="003F5B40">
        <w:rPr>
          <w:rStyle w:val="EndnoteReference"/>
          <w:rFonts w:cstheme="minorHAnsi"/>
        </w:rPr>
        <w:endnoteReference w:id="106"/>
      </w:r>
      <w:r w:rsidRPr="003F5B40">
        <w:rPr>
          <w:rFonts w:cstheme="minorHAnsi"/>
        </w:rPr>
        <w:t>, and decline of cognitive ability (even in the absence of TBI)</w:t>
      </w:r>
      <w:r w:rsidRPr="003F5B40">
        <w:rPr>
          <w:rStyle w:val="EndnoteReference"/>
          <w:rFonts w:cstheme="minorHAnsi"/>
        </w:rPr>
        <w:endnoteReference w:id="107"/>
      </w:r>
      <w:r w:rsidRPr="003F5B40">
        <w:rPr>
          <w:rFonts w:cstheme="minorHAnsi"/>
          <w:vertAlign w:val="superscript"/>
        </w:rPr>
        <w:t>,</w:t>
      </w:r>
      <w:r w:rsidRPr="003F5B40">
        <w:rPr>
          <w:rStyle w:val="EndnoteReference"/>
          <w:rFonts w:cstheme="minorHAnsi"/>
        </w:rPr>
        <w:endnoteReference w:id="108"/>
      </w:r>
      <w:r w:rsidRPr="003F5B40">
        <w:rPr>
          <w:rFonts w:cstheme="minorHAnsi"/>
        </w:rPr>
        <w:t>.  Spinal cord injury can lead to a chronic inflammatory state characterized by progressive neurodegeneration</w:t>
      </w:r>
      <w:r w:rsidRPr="003F5B40">
        <w:rPr>
          <w:rStyle w:val="EndnoteReference"/>
          <w:rFonts w:cstheme="minorHAnsi"/>
        </w:rPr>
        <w:endnoteReference w:id="109"/>
      </w:r>
      <w:r w:rsidRPr="003F5B40">
        <w:rPr>
          <w:rFonts w:cstheme="minorHAnsi"/>
        </w:rPr>
        <w:t xml:space="preserve">.  This </w:t>
      </w:r>
      <w:r w:rsidRPr="003F5B40">
        <w:rPr>
          <w:rFonts w:cstheme="minorHAnsi"/>
        </w:rPr>
        <w:lastRenderedPageBreak/>
        <w:t>chronic pro-inflammatory state can result in poor rehabilitative progress, failure to recover, and gradual worsening of neurological function for months or years after injury</w:t>
      </w:r>
      <w:r w:rsidRPr="003F5B40">
        <w:rPr>
          <w:rStyle w:val="EndnoteReference"/>
          <w:rFonts w:cstheme="minorHAnsi"/>
        </w:rPr>
        <w:endnoteReference w:id="110"/>
      </w:r>
      <w:r w:rsidRPr="003F5B40">
        <w:rPr>
          <w:rFonts w:cstheme="minorHAnsi"/>
        </w:rPr>
        <w:t>.  Post SCI inflammation causes neuro-degeneration and that control and/or reduction of inflammation in SCI can result in improved outcomes.   Inflammation is a key component of complex regional pain syndrome</w:t>
      </w:r>
      <w:r w:rsidRPr="003F5B40">
        <w:rPr>
          <w:rStyle w:val="EndnoteReference"/>
          <w:rFonts w:cstheme="minorHAnsi"/>
        </w:rPr>
        <w:endnoteReference w:id="111"/>
      </w:r>
      <w:r w:rsidRPr="003F5B40">
        <w:rPr>
          <w:rFonts w:cstheme="minorHAnsi"/>
        </w:rPr>
        <w:t xml:space="preserve"> often seen in SCI.  </w:t>
      </w:r>
    </w:p>
    <w:p w14:paraId="447B6B9A" w14:textId="7D97185B" w:rsidR="004A70CE" w:rsidRPr="003F5B40" w:rsidRDefault="004A70CE" w:rsidP="00F11C2A">
      <w:pPr>
        <w:shd w:val="clear" w:color="auto" w:fill="FFFFFF"/>
        <w:spacing w:before="100" w:beforeAutospacing="1" w:after="0" w:line="240" w:lineRule="auto"/>
        <w:rPr>
          <w:rFonts w:cstheme="minorHAnsi"/>
          <w:b/>
          <w:bCs/>
        </w:rPr>
      </w:pPr>
      <w:r w:rsidRPr="003F5B40">
        <w:rPr>
          <w:rFonts w:cstheme="minorHAnsi"/>
        </w:rPr>
        <w:t>In studies using rodent models of SCI, HBOT has been shown to reduce glial scar formation by reducing inflammation</w:t>
      </w:r>
      <w:r w:rsidRPr="003F5B40">
        <w:rPr>
          <w:rStyle w:val="EndnoteReference"/>
          <w:rFonts w:cstheme="minorHAnsi"/>
        </w:rPr>
        <w:endnoteReference w:id="112"/>
      </w:r>
      <w:r w:rsidRPr="003F5B40">
        <w:rPr>
          <w:rFonts w:cstheme="minorHAnsi"/>
        </w:rPr>
        <w:t>. In a recent study from China, SCI patients receiving HBOT were shown to have reduced levels of biomarkers of inflammation which correlated with significant improvement in motor/pain scores after 30 HBOT</w:t>
      </w:r>
      <w:r w:rsidRPr="003F5B40">
        <w:rPr>
          <w:rStyle w:val="EndnoteReference"/>
          <w:rFonts w:cstheme="minorHAnsi"/>
        </w:rPr>
        <w:endnoteReference w:id="113"/>
      </w:r>
      <w:r w:rsidRPr="003F5B40">
        <w:rPr>
          <w:rFonts w:cstheme="minorHAnsi"/>
        </w:rPr>
        <w:t xml:space="preserve">. Other observations have shown HBOT promotes the production of anti-inflammatory cytokines </w:t>
      </w:r>
      <w:r w:rsidR="001A295C">
        <w:rPr>
          <w:rFonts w:cstheme="minorHAnsi"/>
        </w:rPr>
        <w:t xml:space="preserve">(cell signaling proteins) </w:t>
      </w:r>
      <w:r w:rsidRPr="003F5B40">
        <w:rPr>
          <w:rFonts w:cstheme="minorHAnsi"/>
        </w:rPr>
        <w:t>and reduces other biomarkers of inflammation in SCI</w:t>
      </w:r>
      <w:r w:rsidRPr="003F5B40">
        <w:rPr>
          <w:rStyle w:val="EndnoteReference"/>
          <w:rFonts w:cstheme="minorHAnsi"/>
        </w:rPr>
        <w:endnoteReference w:id="114"/>
      </w:r>
      <w:r w:rsidRPr="003F5B40">
        <w:rPr>
          <w:rFonts w:cstheme="minorHAnsi"/>
        </w:rPr>
        <w:t>.</w:t>
      </w:r>
    </w:p>
    <w:p w14:paraId="1414FF15" w14:textId="150BA059" w:rsidR="004A70CE" w:rsidRPr="00F11C2A" w:rsidRDefault="004A70CE" w:rsidP="0045314D">
      <w:pPr>
        <w:shd w:val="clear" w:color="auto" w:fill="FFFFFF"/>
        <w:spacing w:before="100" w:beforeAutospacing="1" w:after="0" w:line="240" w:lineRule="auto"/>
        <w:rPr>
          <w:rFonts w:cstheme="minorHAnsi"/>
          <w:b/>
          <w:bCs/>
          <w:sz w:val="22"/>
          <w:szCs w:val="22"/>
          <w:lang w:val="en"/>
        </w:rPr>
      </w:pPr>
      <w:r w:rsidRPr="00F11C2A">
        <w:rPr>
          <w:rFonts w:cstheme="minorHAnsi"/>
          <w:b/>
          <w:bCs/>
          <w:sz w:val="22"/>
          <w:szCs w:val="22"/>
          <w:lang w:val="en"/>
        </w:rPr>
        <w:t xml:space="preserve">HBOT in </w:t>
      </w:r>
      <w:r w:rsidR="00372DA3">
        <w:rPr>
          <w:rFonts w:cstheme="minorHAnsi"/>
          <w:b/>
          <w:bCs/>
          <w:sz w:val="22"/>
          <w:szCs w:val="22"/>
          <w:lang w:val="en"/>
        </w:rPr>
        <w:t>p</w:t>
      </w:r>
      <w:r w:rsidRPr="00F11C2A">
        <w:rPr>
          <w:rFonts w:cstheme="minorHAnsi"/>
          <w:b/>
          <w:bCs/>
          <w:sz w:val="22"/>
          <w:szCs w:val="22"/>
          <w:lang w:val="en"/>
        </w:rPr>
        <w:t xml:space="preserve">ain </w:t>
      </w:r>
      <w:r w:rsidR="00372DA3">
        <w:rPr>
          <w:rFonts w:cstheme="minorHAnsi"/>
          <w:b/>
          <w:bCs/>
          <w:sz w:val="22"/>
          <w:szCs w:val="22"/>
          <w:lang w:val="en"/>
        </w:rPr>
        <w:t>m</w:t>
      </w:r>
      <w:r w:rsidRPr="00F11C2A">
        <w:rPr>
          <w:rFonts w:cstheme="minorHAnsi"/>
          <w:b/>
          <w:bCs/>
          <w:sz w:val="22"/>
          <w:szCs w:val="22"/>
          <w:lang w:val="en"/>
        </w:rPr>
        <w:t>anagement</w:t>
      </w:r>
    </w:p>
    <w:p w14:paraId="32E57ACA" w14:textId="77777777" w:rsidR="00372DA3" w:rsidRDefault="00372DA3" w:rsidP="009D3191"/>
    <w:p w14:paraId="2D821F57" w14:textId="130D6726" w:rsidR="004A70CE" w:rsidRDefault="004A70CE" w:rsidP="009D3191">
      <w:r>
        <w:t>About 60% of people with TBI suffer from chronic pain</w:t>
      </w:r>
      <w:r>
        <w:rPr>
          <w:rStyle w:val="EndnoteReference"/>
        </w:rPr>
        <w:endnoteReference w:id="115"/>
      </w:r>
      <w:r>
        <w:t>, as well as up to 90% of those with chronic spinal cord injury</w:t>
      </w:r>
      <w:r w:rsidRPr="00876D59">
        <w:rPr>
          <w:rStyle w:val="EndnoteReference"/>
          <w:rFonts w:cstheme="minorHAnsi"/>
        </w:rPr>
        <w:endnoteReference w:id="116"/>
      </w:r>
      <w:r w:rsidRPr="00876D59">
        <w:rPr>
          <w:vertAlign w:val="superscript"/>
        </w:rPr>
        <w:t>,</w:t>
      </w:r>
      <w:r w:rsidRPr="00876D59">
        <w:rPr>
          <w:rStyle w:val="EndnoteReference"/>
          <w:rFonts w:cstheme="minorHAnsi"/>
        </w:rPr>
        <w:endnoteReference w:id="117"/>
      </w:r>
      <w:r>
        <w:t>. Chronic pain is also a significant component of PTSD</w:t>
      </w:r>
      <w:r>
        <w:rPr>
          <w:rStyle w:val="EndnoteReference"/>
        </w:rPr>
        <w:endnoteReference w:id="118"/>
      </w:r>
      <w:r>
        <w:t>.  Recipients of hyperbaric oxygen therapy for any cause often remark that their chronic pain has been reduced by the therapy. This is one of the expected results of HBOT for fibromyalgia, long-CO</w:t>
      </w:r>
      <w:r w:rsidR="001322EE">
        <w:t>V</w:t>
      </w:r>
      <w:r>
        <w:t xml:space="preserve">ID syndrome, TBI, and PTSD.  This relief </w:t>
      </w:r>
      <w:r w:rsidRPr="0054180F">
        <w:t>has been reported in patients suffering from various chronic pain conditions, including fibromyalgia</w:t>
      </w:r>
      <w:r>
        <w:rPr>
          <w:rStyle w:val="EndnoteReference"/>
        </w:rPr>
        <w:endnoteReference w:id="119"/>
      </w:r>
      <w:r>
        <w:rPr>
          <w:vertAlign w:val="superscript"/>
        </w:rPr>
        <w:t>,</w:t>
      </w:r>
      <w:r>
        <w:rPr>
          <w:rStyle w:val="EndnoteReference"/>
        </w:rPr>
        <w:endnoteReference w:id="120"/>
      </w:r>
      <w:r>
        <w:rPr>
          <w:vertAlign w:val="superscript"/>
        </w:rPr>
        <w:t>,</w:t>
      </w:r>
      <w:r>
        <w:rPr>
          <w:rStyle w:val="EndnoteReference"/>
        </w:rPr>
        <w:endnoteReference w:id="121"/>
      </w:r>
      <w:r>
        <w:t>, regional pain syndrome</w:t>
      </w:r>
      <w:r>
        <w:rPr>
          <w:rStyle w:val="EndnoteReference"/>
        </w:rPr>
        <w:endnoteReference w:id="122"/>
      </w:r>
      <w:r>
        <w:t>, myofascial pain syndrome</w:t>
      </w:r>
      <w:r>
        <w:rPr>
          <w:rStyle w:val="EndnoteReference"/>
        </w:rPr>
        <w:endnoteReference w:id="123"/>
      </w:r>
      <w:r>
        <w:t>, spinal cord injury</w:t>
      </w:r>
      <w:r>
        <w:rPr>
          <w:rStyle w:val="EndnoteReference"/>
        </w:rPr>
        <w:endnoteReference w:id="124"/>
      </w:r>
      <w:r>
        <w:t>, narcotic dependency</w:t>
      </w:r>
      <w:r>
        <w:rPr>
          <w:rStyle w:val="EndnoteReference"/>
        </w:rPr>
        <w:endnoteReference w:id="125"/>
      </w:r>
      <w:r>
        <w:rPr>
          <w:vertAlign w:val="superscript"/>
        </w:rPr>
        <w:t>,</w:t>
      </w:r>
      <w:r>
        <w:rPr>
          <w:rStyle w:val="EndnoteReference"/>
        </w:rPr>
        <w:endnoteReference w:id="126"/>
      </w:r>
      <w:r>
        <w:t xml:space="preserve">, </w:t>
      </w:r>
      <w:r w:rsidRPr="0054180F">
        <w:t>complex regional pain syndrome</w:t>
      </w:r>
      <w:r>
        <w:rPr>
          <w:rStyle w:val="EndnoteReference"/>
        </w:rPr>
        <w:endnoteReference w:id="127"/>
      </w:r>
      <w:r w:rsidRPr="0054180F">
        <w:t>, idiopathic trigeminal neuralgia</w:t>
      </w:r>
      <w:r>
        <w:rPr>
          <w:rStyle w:val="EndnoteReference"/>
        </w:rPr>
        <w:endnoteReference w:id="128"/>
      </w:r>
      <w:r>
        <w:t>, migraine headache</w:t>
      </w:r>
      <w:r>
        <w:rPr>
          <w:rStyle w:val="EndnoteReference"/>
        </w:rPr>
        <w:endnoteReference w:id="129"/>
      </w:r>
      <w:r>
        <w:t xml:space="preserve">, </w:t>
      </w:r>
      <w:r w:rsidRPr="0054180F">
        <w:t>and cluster headache</w:t>
      </w:r>
      <w:r>
        <w:rPr>
          <w:rStyle w:val="EndnoteReference"/>
        </w:rPr>
        <w:endnoteReference w:id="130"/>
      </w:r>
      <w:r>
        <w:t>.</w:t>
      </w:r>
      <w:r w:rsidRPr="0054180F">
        <w:t xml:space="preserve"> </w:t>
      </w:r>
      <w:r>
        <w:t xml:space="preserve"> HBOT has proven useful in reducing the pain associated with TBI, and this pain reduction is consistent and long-lasting</w:t>
      </w:r>
      <w:r>
        <w:rPr>
          <w:rStyle w:val="EndnoteReference"/>
        </w:rPr>
        <w:endnoteReference w:id="131"/>
      </w:r>
      <w:r>
        <w:t>.  Additionally, the dependence on narcotic analgesics is significantly reduced</w:t>
      </w:r>
      <w:r>
        <w:rPr>
          <w:rStyle w:val="EndnoteReference"/>
        </w:rPr>
        <w:endnoteReference w:id="132"/>
      </w:r>
      <w:r>
        <w:t>.</w:t>
      </w:r>
    </w:p>
    <w:p w14:paraId="1EC6EA37" w14:textId="51AF5BD0" w:rsidR="004A70CE" w:rsidRPr="00604639" w:rsidRDefault="004A70CE" w:rsidP="009D3191">
      <w:r>
        <w:t>This reduction of pain by HBOT is achieved through several mechanisms.  One of the ways HBOT reduces pain is through the up-regulation of NO synthase in the CNS</w:t>
      </w:r>
      <w:r>
        <w:rPr>
          <w:rStyle w:val="EndnoteReference"/>
        </w:rPr>
        <w:endnoteReference w:id="133"/>
      </w:r>
      <w:r>
        <w:rPr>
          <w:vertAlign w:val="superscript"/>
        </w:rPr>
        <w:t>,</w:t>
      </w:r>
      <w:r>
        <w:rPr>
          <w:rStyle w:val="EndnoteReference"/>
        </w:rPr>
        <w:endnoteReference w:id="134"/>
      </w:r>
      <w:r w:rsidR="001322EE">
        <w:rPr>
          <w:vertAlign w:val="superscript"/>
        </w:rPr>
        <w:t xml:space="preserve"> </w:t>
      </w:r>
      <w:r w:rsidR="001322EE" w:rsidRPr="001322EE">
        <w:t>which</w:t>
      </w:r>
      <w:r w:rsidR="001322EE">
        <w:t xml:space="preserve"> produces NO which in turn acts as a signaling agent for various nerve cell actions</w:t>
      </w:r>
      <w:r w:rsidR="001322EE">
        <w:rPr>
          <w:rStyle w:val="EndnoteReference"/>
        </w:rPr>
        <w:endnoteReference w:id="135"/>
      </w:r>
      <w:r w:rsidR="001322EE">
        <w:t>.</w:t>
      </w:r>
      <w:r>
        <w:t xml:space="preserve">  Additionally, HBO acts to block pain sensations through the </w:t>
      </w:r>
      <w:r w:rsidRPr="00604639">
        <w:t xml:space="preserve">release of </w:t>
      </w:r>
      <w:r w:rsidRPr="00604639">
        <w:lastRenderedPageBreak/>
        <w:t>dynorphin and activation of κ- and μ-opioid receptors in the spinal cord</w:t>
      </w:r>
      <w:r>
        <w:t xml:space="preserve"> and brain</w:t>
      </w:r>
      <w:r>
        <w:rPr>
          <w:rStyle w:val="EndnoteReference"/>
        </w:rPr>
        <w:endnoteReference w:id="136"/>
      </w:r>
      <w:r>
        <w:rPr>
          <w:vertAlign w:val="superscript"/>
        </w:rPr>
        <w:t>,</w:t>
      </w:r>
      <w:r>
        <w:rPr>
          <w:rStyle w:val="EndnoteReference"/>
        </w:rPr>
        <w:endnoteReference w:id="137"/>
      </w:r>
      <w:r w:rsidRPr="00604639">
        <w:t>.</w:t>
      </w:r>
      <w:r>
        <w:t xml:space="preserve">  In summary, HBOT acts to relieve pain through at least three mechanisms: inflammation reduction, NO up-regulation in the CNS, and the release of endogenous opioids.</w:t>
      </w:r>
    </w:p>
    <w:p w14:paraId="4582E43C" w14:textId="29A8760F" w:rsidR="004A70CE" w:rsidRPr="00F11C2A" w:rsidRDefault="004A70CE" w:rsidP="00F11C2A">
      <w:r>
        <w:t>More than 20 years ago, it was proposed that HBOT could be used as an adjunct in alcohol and drug rehabilitation and to mitigate the symptoms of withdrawal</w:t>
      </w:r>
      <w:r>
        <w:rPr>
          <w:rStyle w:val="EndnoteReference"/>
        </w:rPr>
        <w:endnoteReference w:id="138"/>
      </w:r>
      <w:r>
        <w:t>. Through a direct action on nerve cells, HBO reduces withdrawal symptom in opioid withdrawal</w:t>
      </w:r>
      <w:r>
        <w:rPr>
          <w:rStyle w:val="EndnoteReference"/>
        </w:rPr>
        <w:endnoteReference w:id="139"/>
      </w:r>
      <w:r>
        <w:t xml:space="preserve">. In a randomized controlled trial, Dr. Ray Quock showed that HBOT </w:t>
      </w:r>
      <w:r w:rsidR="000E18FA">
        <w:t xml:space="preserve">reduced pain and </w:t>
      </w:r>
      <w:r>
        <w:t>improved symptoms in subjects enrolled in an opioid use withdrawal program, and</w:t>
      </w:r>
      <w:r w:rsidR="00847E0D">
        <w:t xml:space="preserve"> also</w:t>
      </w:r>
      <w:r>
        <w:t xml:space="preserve"> reduced methadone use</w:t>
      </w:r>
      <w:r>
        <w:rPr>
          <w:rStyle w:val="EndnoteReference"/>
        </w:rPr>
        <w:endnoteReference w:id="140"/>
      </w:r>
      <w:r>
        <w:t xml:space="preserve">.  </w:t>
      </w:r>
    </w:p>
    <w:p w14:paraId="073CFB25" w14:textId="0D4948A5" w:rsidR="004A70CE" w:rsidRPr="0045314D" w:rsidRDefault="004A70CE" w:rsidP="0045314D">
      <w:pPr>
        <w:pStyle w:val="ListParagraph"/>
        <w:numPr>
          <w:ilvl w:val="0"/>
          <w:numId w:val="7"/>
        </w:numPr>
        <w:rPr>
          <w:rFonts w:cstheme="minorHAnsi"/>
          <w:b/>
          <w:bCs/>
          <w:color w:val="EE0000"/>
        </w:rPr>
      </w:pPr>
      <w:r w:rsidRPr="0045314D">
        <w:rPr>
          <w:rFonts w:cstheme="minorHAnsi"/>
          <w:b/>
          <w:bCs/>
        </w:rPr>
        <w:t>How HBOT helps in recovery from TBI, PTSD, and SCI</w:t>
      </w:r>
    </w:p>
    <w:p w14:paraId="18AF4C27" w14:textId="0C511F07" w:rsidR="004A70CE" w:rsidRPr="00FD03D8" w:rsidRDefault="004A70CE" w:rsidP="00FD03D8">
      <w:pPr>
        <w:rPr>
          <w:rFonts w:cstheme="minorHAnsi"/>
        </w:rPr>
      </w:pPr>
      <w:r w:rsidRPr="00FD03D8">
        <w:rPr>
          <w:rFonts w:cstheme="minorHAnsi"/>
        </w:rPr>
        <w:t>In the past 15 years</w:t>
      </w:r>
      <w:r>
        <w:rPr>
          <w:rFonts w:cstheme="minorHAnsi"/>
        </w:rPr>
        <w:t xml:space="preserve"> numerous reports and studies have consistently shown that HBOT is useful in facilitating recovery from TBI, PTSD, and SCI.  Thirteen randomized controlled studies have been completed for TBI and PTSD and in all but one improvement with HBOT has been documented (see Appendix 1).  Additionally, the results have been consistent and reproduceable.  One of the earliest studies (completed I 2013) was the NBIRR (National Brain Rescue and Rehabilitation) effort (see Appendix 2), and because the results reported have been </w:t>
      </w:r>
      <w:r w:rsidR="00847E0D">
        <w:rPr>
          <w:rFonts w:cstheme="minorHAnsi"/>
        </w:rPr>
        <w:t xml:space="preserve">consistently </w:t>
      </w:r>
      <w:r>
        <w:rPr>
          <w:rFonts w:cstheme="minorHAnsi"/>
        </w:rPr>
        <w:t>reproduced in other studies, it is useful to take a closer look at these.</w:t>
      </w:r>
    </w:p>
    <w:p w14:paraId="1550FB0D" w14:textId="77777777" w:rsidR="004A70CE" w:rsidRPr="0045314D" w:rsidRDefault="004A70CE" w:rsidP="0045314D">
      <w:pPr>
        <w:rPr>
          <w:rFonts w:cstheme="minorHAnsi"/>
          <w:b/>
          <w:bCs/>
        </w:rPr>
      </w:pPr>
      <w:r w:rsidRPr="0045314D">
        <w:rPr>
          <w:rFonts w:cstheme="minorHAnsi"/>
          <w:b/>
          <w:bCs/>
        </w:rPr>
        <w:t>The NBIRR Study</w:t>
      </w:r>
    </w:p>
    <w:p w14:paraId="3910EE5E" w14:textId="37193BA0" w:rsidR="004A70CE" w:rsidRPr="0046326E" w:rsidRDefault="004A70CE" w:rsidP="0046326E">
      <w:pPr>
        <w:rPr>
          <w:rFonts w:cstheme="minorHAnsi"/>
        </w:rPr>
      </w:pPr>
      <w:r w:rsidRPr="0046326E">
        <w:rPr>
          <w:rFonts w:cstheme="minorHAnsi"/>
        </w:rPr>
        <w:t>In our previous work in the National Brain Injury Rescue and Rehabilitation Study, completed in 2013, we found that all subjects (with m</w:t>
      </w:r>
      <w:r>
        <w:rPr>
          <w:rFonts w:cstheme="minorHAnsi"/>
        </w:rPr>
        <w:t xml:space="preserve">ild </w:t>
      </w:r>
      <w:r w:rsidRPr="0046326E">
        <w:rPr>
          <w:rFonts w:cstheme="minorHAnsi"/>
        </w:rPr>
        <w:t xml:space="preserve">TBI, </w:t>
      </w:r>
      <w:smartTag w:uri="urn:schemas-microsoft-com:office:smarttags" w:element="stockticker">
        <w:r w:rsidRPr="0046326E">
          <w:rPr>
            <w:rFonts w:cstheme="minorHAnsi"/>
          </w:rPr>
          <w:t>PCS</w:t>
        </w:r>
      </w:smartTag>
      <w:r w:rsidRPr="0046326E">
        <w:rPr>
          <w:rFonts w:cstheme="minorHAnsi"/>
        </w:rPr>
        <w:t>, and PTSD) demonstrated improvement in most measures after HBOT</w:t>
      </w:r>
      <w:r>
        <w:rPr>
          <w:rFonts w:cstheme="minorHAnsi"/>
        </w:rPr>
        <w:t>,</w:t>
      </w:r>
      <w:r w:rsidRPr="0046326E">
        <w:rPr>
          <w:rFonts w:cstheme="minorHAnsi"/>
        </w:rPr>
        <w:t xml:space="preserve"> and improvement in 21 of 25 neurocognitive test measures was observed. The objective neurocognitive test components showed improvement in 13 of 17 measures.  Earlier administration of HBOT post injury, younger age at the time of injury and HBOT, </w:t>
      </w:r>
      <w:r w:rsidR="00847E0D">
        <w:rPr>
          <w:rFonts w:cstheme="minorHAnsi"/>
        </w:rPr>
        <w:t>active-duty</w:t>
      </w:r>
      <w:r>
        <w:rPr>
          <w:rFonts w:cstheme="minorHAnsi"/>
        </w:rPr>
        <w:t xml:space="preserve"> </w:t>
      </w:r>
      <w:r w:rsidRPr="0046326E">
        <w:rPr>
          <w:rFonts w:cstheme="minorHAnsi"/>
        </w:rPr>
        <w:t xml:space="preserve">military status, and increased number of HBOTs were characteristics associated with improved </w:t>
      </w:r>
      <w:r w:rsidRPr="0046326E">
        <w:rPr>
          <w:rFonts w:cstheme="minorHAnsi"/>
        </w:rPr>
        <w:lastRenderedPageBreak/>
        <w:t>outcomes.  The safety of the HBOT protocol at 1.5 ATA was established and there were no adverse events.</w:t>
      </w:r>
    </w:p>
    <w:p w14:paraId="032C3AEC" w14:textId="0E87CBB3" w:rsidR="004A70CE" w:rsidRPr="00DB365E" w:rsidRDefault="004A70CE" w:rsidP="00594F83">
      <w:pPr>
        <w:rPr>
          <w:rFonts w:cstheme="minorHAnsi"/>
        </w:rPr>
      </w:pPr>
      <w:r>
        <w:rPr>
          <w:rFonts w:cstheme="minorHAnsi"/>
        </w:rPr>
        <w:t xml:space="preserve">The graph below summarizes the changes in mood </w:t>
      </w:r>
      <w:r w:rsidR="00847E0D">
        <w:rPr>
          <w:rFonts w:cstheme="minorHAnsi"/>
        </w:rPr>
        <w:t>scores</w:t>
      </w:r>
      <w:r>
        <w:rPr>
          <w:rFonts w:cstheme="minorHAnsi"/>
        </w:rPr>
        <w:t xml:space="preserve"> in the NBIRR study.  These results have proven </w:t>
      </w:r>
      <w:r w:rsidR="00847E0D">
        <w:rPr>
          <w:rFonts w:cstheme="minorHAnsi"/>
        </w:rPr>
        <w:t>remarkably</w:t>
      </w:r>
      <w:r>
        <w:rPr>
          <w:rFonts w:cstheme="minorHAnsi"/>
        </w:rPr>
        <w:t xml:space="preserve"> consistent with the findings of other researchers treating PTSD and TBI through the years.  For example, an Israeli study by Dr. Efrati and colleagues treating PTSD showed a </w:t>
      </w:r>
      <w:r w:rsidRPr="00361746">
        <w:rPr>
          <w:rFonts w:cstheme="minorHAnsi"/>
        </w:rPr>
        <w:t>39</w:t>
      </w:r>
      <w:r w:rsidRPr="00DB365E">
        <w:rPr>
          <w:rFonts w:cstheme="minorHAnsi"/>
        </w:rPr>
        <w:t xml:space="preserve">% average reduction in PTSD </w:t>
      </w:r>
      <w:r>
        <w:rPr>
          <w:rFonts w:cstheme="minorHAnsi"/>
        </w:rPr>
        <w:t>symptoms, nearly identical to our 3</w:t>
      </w:r>
      <w:r w:rsidR="00847E0D">
        <w:rPr>
          <w:rFonts w:cstheme="minorHAnsi"/>
        </w:rPr>
        <w:t>7</w:t>
      </w:r>
      <w:r>
        <w:rPr>
          <w:rFonts w:cstheme="minorHAnsi"/>
        </w:rPr>
        <w:t>% reduction in negative mood scores</w:t>
      </w:r>
      <w:r w:rsidRPr="00DB365E">
        <w:rPr>
          <w:rStyle w:val="EndnoteReference"/>
          <w:rFonts w:cstheme="minorHAnsi"/>
        </w:rPr>
        <w:endnoteReference w:id="141"/>
      </w:r>
      <w:r>
        <w:rPr>
          <w:rFonts w:cstheme="minorHAnsi"/>
        </w:rPr>
        <w:t>.</w:t>
      </w:r>
    </w:p>
    <w:p w14:paraId="728DD335" w14:textId="2321D210" w:rsidR="004A70CE" w:rsidRPr="00DB365E" w:rsidRDefault="004A70CE" w:rsidP="001A21EC">
      <w:pPr>
        <w:pStyle w:val="ListParagraph"/>
        <w:rPr>
          <w:rFonts w:cstheme="minorHAnsi"/>
        </w:rPr>
      </w:pPr>
      <w:r w:rsidRPr="00DB365E">
        <w:rPr>
          <w:rFonts w:cstheme="minorHAnsi"/>
          <w:noProof/>
        </w:rPr>
        <mc:AlternateContent>
          <mc:Choice Requires="wps">
            <w:drawing>
              <wp:anchor distT="45720" distB="45720" distL="114300" distR="114300" simplePos="0" relativeHeight="251661312" behindDoc="0" locked="0" layoutInCell="1" allowOverlap="1" wp14:anchorId="4872E274" wp14:editId="48578171">
                <wp:simplePos x="0" y="0"/>
                <wp:positionH relativeFrom="column">
                  <wp:posOffset>5533505</wp:posOffset>
                </wp:positionH>
                <wp:positionV relativeFrom="paragraph">
                  <wp:posOffset>244879</wp:posOffset>
                </wp:positionV>
                <wp:extent cx="1002306" cy="1787236"/>
                <wp:effectExtent l="0" t="0" r="2667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306" cy="1787236"/>
                        </a:xfrm>
                        <a:prstGeom prst="rect">
                          <a:avLst/>
                        </a:prstGeom>
                        <a:solidFill>
                          <a:srgbClr val="FFFFFF"/>
                        </a:solidFill>
                        <a:ln w="9525">
                          <a:solidFill>
                            <a:srgbClr val="000000"/>
                          </a:solidFill>
                          <a:miter lim="800000"/>
                          <a:headEnd/>
                          <a:tailEnd/>
                        </a:ln>
                      </wps:spPr>
                      <wps:txbx>
                        <w:txbxContent>
                          <w:p w14:paraId="29EB974E" w14:textId="6497ECF4" w:rsidR="004A70CE" w:rsidRDefault="004A70CE" w:rsidP="00055876">
                            <w:pPr>
                              <w:jc w:val="center"/>
                            </w:pPr>
                            <w:r w:rsidRPr="006E0F5C">
                              <w:rPr>
                                <w:b/>
                                <w:bCs/>
                              </w:rPr>
                              <w:t>37</w:t>
                            </w:r>
                            <w:r>
                              <w:t>% Average</w:t>
                            </w:r>
                          </w:p>
                          <w:p w14:paraId="0A530E5C" w14:textId="4682BB65" w:rsidR="004A70CE" w:rsidRDefault="004A70CE" w:rsidP="00055876">
                            <w:pPr>
                              <w:jc w:val="center"/>
                            </w:pPr>
                            <w:r>
                              <w:t>Reduction in</w:t>
                            </w:r>
                          </w:p>
                          <w:p w14:paraId="6258FBA8" w14:textId="39C1221E" w:rsidR="004A70CE" w:rsidRDefault="004A70CE" w:rsidP="00055876">
                            <w:pPr>
                              <w:jc w:val="center"/>
                            </w:pPr>
                            <w:r>
                              <w:t>Negative Mood</w:t>
                            </w:r>
                          </w:p>
                          <w:p w14:paraId="3711A346" w14:textId="505ACD4C" w:rsidR="004A70CE" w:rsidRDefault="004A70CE" w:rsidP="00055876">
                            <w:pPr>
                              <w:jc w:val="center"/>
                            </w:pPr>
                            <w:r>
                              <w:t>Scores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2E274" id="_x0000_t202" coordsize="21600,21600" o:spt="202" path="m,l,21600r21600,l21600,xe">
                <v:stroke joinstyle="miter"/>
                <v:path gradientshapeok="t" o:connecttype="rect"/>
              </v:shapetype>
              <v:shape id="Text Box 2" o:spid="_x0000_s1026" type="#_x0000_t202" style="position:absolute;left:0;text-align:left;margin-left:435.7pt;margin-top:19.3pt;width:78.9pt;height:140.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">
                <v:textbox>
                  <w:txbxContent>
                    <w:p w14:paraId="29EB974E" w14:textId="6497ECF4" w:rsidR="004A70CE" w:rsidRDefault="004A70CE" w:rsidP="00055876">
                      <w:pPr>
                        <w:jc w:val="center"/>
                      </w:pPr>
                      <w:r w:rsidRPr="006E0F5C">
                        <w:rPr>
                          <w:b/>
                          <w:bCs/>
                        </w:rPr>
                        <w:t>37</w:t>
                      </w:r>
                      <w:r>
                        <w:t>% Average</w:t>
                      </w:r>
                    </w:p>
                    <w:p w14:paraId="0A530E5C" w14:textId="4682BB65" w:rsidR="004A70CE" w:rsidRDefault="004A70CE" w:rsidP="00055876">
                      <w:pPr>
                        <w:jc w:val="center"/>
                      </w:pPr>
                      <w:r>
                        <w:t>Reduction in</w:t>
                      </w:r>
                    </w:p>
                    <w:p w14:paraId="6258FBA8" w14:textId="39C1221E" w:rsidR="004A70CE" w:rsidRDefault="004A70CE" w:rsidP="00055876">
                      <w:pPr>
                        <w:jc w:val="center"/>
                      </w:pPr>
                      <w:r>
                        <w:t>Negative Mood</w:t>
                      </w:r>
                    </w:p>
                    <w:p w14:paraId="3711A346" w14:textId="505ACD4C" w:rsidR="004A70CE" w:rsidRDefault="004A70CE" w:rsidP="00055876">
                      <w:pPr>
                        <w:jc w:val="center"/>
                      </w:pPr>
                      <w:r>
                        <w:t>Scores</w:t>
                      </w:r>
                    </w:p>
                  </w:txbxContent>
                </v:textbox>
              </v:shape>
            </w:pict>
          </mc:Fallback>
        </mc:AlternateContent>
      </w:r>
      <w:r w:rsidRPr="00DB365E">
        <w:rPr>
          <w:rFonts w:cstheme="minorHAnsi"/>
          <w:noProof/>
        </w:rPr>
        <w:drawing>
          <wp:inline distT="0" distB="0" distL="0" distR="0" wp14:anchorId="4DB01010" wp14:editId="4BC07BBC">
            <wp:extent cx="4572000" cy="2743200"/>
            <wp:effectExtent l="0" t="0" r="0" b="0"/>
            <wp:docPr id="1816398361" name="Chart 1">
              <a:extLst xmlns:a="http://schemas.openxmlformats.org/drawingml/2006/main">
                <a:ext uri="{FF2B5EF4-FFF2-40B4-BE49-F238E27FC236}">
                  <a16:creationId xmlns:a16="http://schemas.microsoft.com/office/drawing/2014/main" id="{EC5BB5EC-BF86-80F8-A4FA-44D5CF455D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659668E" w14:textId="77777777" w:rsidR="004A70CE" w:rsidRDefault="004A70CE" w:rsidP="001A21EC">
      <w:pPr>
        <w:pStyle w:val="ListParagraph"/>
        <w:rPr>
          <w:rFonts w:cstheme="minorHAnsi"/>
          <w:b/>
          <w:bCs/>
        </w:rPr>
      </w:pPr>
    </w:p>
    <w:p w14:paraId="4C8C69EB" w14:textId="0F4A79FD" w:rsidR="004A70CE" w:rsidRPr="00F467AC" w:rsidRDefault="004A70CE" w:rsidP="00C75434">
      <w:pPr>
        <w:rPr>
          <w:rFonts w:cstheme="minorHAnsi"/>
        </w:rPr>
      </w:pPr>
      <w:r w:rsidRPr="00F467AC">
        <w:rPr>
          <w:rFonts w:cstheme="minorHAnsi"/>
        </w:rPr>
        <w:t>The improvement in the</w:t>
      </w:r>
      <w:r>
        <w:rPr>
          <w:rFonts w:cstheme="minorHAnsi"/>
        </w:rPr>
        <w:t xml:space="preserve"> ANAM cognitive scores was also impressive, averaging 91% and significant in six of the seven measures (SRT-R improved but not at a significant level).</w:t>
      </w:r>
    </w:p>
    <w:p w14:paraId="38C06832" w14:textId="67DB5505" w:rsidR="004A70CE" w:rsidRDefault="004A70CE" w:rsidP="001A21EC">
      <w:pPr>
        <w:pStyle w:val="ListParagraph"/>
        <w:rPr>
          <w:rFonts w:cstheme="minorHAnsi"/>
          <w:b/>
          <w:bCs/>
        </w:rPr>
      </w:pPr>
      <w:r w:rsidRPr="00F467AC">
        <w:rPr>
          <w:rFonts w:cstheme="minorHAnsi"/>
          <w:b/>
          <w:bCs/>
          <w:noProof/>
        </w:rPr>
        <w:lastRenderedPageBreak/>
        <w:drawing>
          <wp:inline distT="0" distB="0" distL="0" distR="0" wp14:anchorId="57921CE3" wp14:editId="08F85A3B">
            <wp:extent cx="3000895" cy="2582820"/>
            <wp:effectExtent l="0" t="0" r="9525" b="8255"/>
            <wp:docPr id="633704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631" cy="2590339"/>
                    </a:xfrm>
                    <a:prstGeom prst="rect">
                      <a:avLst/>
                    </a:prstGeom>
                    <a:noFill/>
                    <a:ln>
                      <a:noFill/>
                    </a:ln>
                  </pic:spPr>
                </pic:pic>
              </a:graphicData>
            </a:graphic>
          </wp:inline>
        </w:drawing>
      </w:r>
    </w:p>
    <w:p w14:paraId="5040E69C" w14:textId="77777777" w:rsidR="004A70CE" w:rsidRDefault="004A70CE" w:rsidP="00235FAE">
      <w:pPr>
        <w:spacing w:after="0"/>
        <w:rPr>
          <w:rFonts w:cstheme="minorHAnsi"/>
          <w:b/>
          <w:bCs/>
        </w:rPr>
      </w:pPr>
    </w:p>
    <w:p w14:paraId="0CAC432C" w14:textId="3857FC53" w:rsidR="004A70CE" w:rsidRDefault="004A70CE" w:rsidP="00235FAE">
      <w:pPr>
        <w:spacing w:after="0"/>
        <w:rPr>
          <w:rFonts w:cstheme="minorHAnsi"/>
        </w:rPr>
      </w:pPr>
    </w:p>
    <w:p w14:paraId="10D28DF4" w14:textId="44BF54D4" w:rsidR="00553F48" w:rsidRPr="00553F48" w:rsidRDefault="00553F48" w:rsidP="0045314D">
      <w:pPr>
        <w:rPr>
          <w:rFonts w:cstheme="minorHAnsi"/>
          <w:b/>
          <w:bCs/>
        </w:rPr>
      </w:pPr>
      <w:r w:rsidRPr="00553F48">
        <w:rPr>
          <w:rFonts w:cstheme="minorHAnsi"/>
          <w:b/>
          <w:bCs/>
        </w:rPr>
        <w:t xml:space="preserve">HBOT for </w:t>
      </w:r>
      <w:r w:rsidR="0045314D">
        <w:rPr>
          <w:rFonts w:cstheme="minorHAnsi"/>
          <w:b/>
          <w:bCs/>
        </w:rPr>
        <w:t>s</w:t>
      </w:r>
      <w:r w:rsidRPr="00553F48">
        <w:rPr>
          <w:rFonts w:cstheme="minorHAnsi"/>
          <w:b/>
          <w:bCs/>
        </w:rPr>
        <w:t xml:space="preserve">pinal </w:t>
      </w:r>
      <w:r w:rsidR="0045314D">
        <w:rPr>
          <w:rFonts w:cstheme="minorHAnsi"/>
          <w:b/>
          <w:bCs/>
        </w:rPr>
        <w:t>c</w:t>
      </w:r>
      <w:r w:rsidRPr="00553F48">
        <w:rPr>
          <w:rFonts w:cstheme="minorHAnsi"/>
          <w:b/>
          <w:bCs/>
        </w:rPr>
        <w:t xml:space="preserve">ord </w:t>
      </w:r>
      <w:r w:rsidR="0045314D">
        <w:rPr>
          <w:rFonts w:cstheme="minorHAnsi"/>
          <w:b/>
          <w:bCs/>
        </w:rPr>
        <w:t>i</w:t>
      </w:r>
      <w:r w:rsidRPr="00553F48">
        <w:rPr>
          <w:rFonts w:cstheme="minorHAnsi"/>
          <w:b/>
          <w:bCs/>
        </w:rPr>
        <w:t>njuries</w:t>
      </w:r>
    </w:p>
    <w:p w14:paraId="71C331E6" w14:textId="08E5A450" w:rsidR="00553F48" w:rsidRPr="00553F48" w:rsidRDefault="00553F48" w:rsidP="00553F48">
      <w:pPr>
        <w:rPr>
          <w:rFonts w:cstheme="minorHAnsi"/>
        </w:rPr>
      </w:pPr>
      <w:r w:rsidRPr="00553F48">
        <w:rPr>
          <w:rFonts w:cstheme="minorHAnsi"/>
        </w:rPr>
        <w:t>It has been recognized for more than 80 years that one of the effects of HBOT in the spinal cord injury in DCI is the correction of regional hypoxia leading to the recovery of function.  A review of 11 randomized controlled trials using HBOT to induce healing in spinal cord injury documented improved motor function, sensory function and mental health compared to conventional treatments for SCI</w:t>
      </w:r>
      <w:r w:rsidRPr="00553F48">
        <w:rPr>
          <w:rStyle w:val="EndnoteReference"/>
          <w:rFonts w:cstheme="minorHAnsi"/>
        </w:rPr>
        <w:endnoteReference w:id="142"/>
      </w:r>
      <w:r w:rsidRPr="00553F48">
        <w:rPr>
          <w:rFonts w:cstheme="minorHAnsi"/>
        </w:rPr>
        <w:t>.  The application of HBOT in incomplete cervical SCI patients resulted in improved spinal cord function, reduction in disability, and improvement in the quality of life</w:t>
      </w:r>
      <w:r w:rsidRPr="00553F48">
        <w:rPr>
          <w:rStyle w:val="EndnoteReference"/>
          <w:rFonts w:cstheme="minorHAnsi"/>
        </w:rPr>
        <w:endnoteReference w:id="143"/>
      </w:r>
      <w:r w:rsidRPr="00553F48">
        <w:rPr>
          <w:rFonts w:cstheme="minorHAnsi"/>
        </w:rPr>
        <w:t>.  HBOT recipients had a significant average 13-point (25%) improvement in motor scores at 3 years post HBOT over their conventional treatment counterparts, and a 19% improvement in sensory scores.   While these results are encouraging, better studies are needed, especially in chronic SCI.</w:t>
      </w:r>
    </w:p>
    <w:p w14:paraId="4AC0B187" w14:textId="77777777" w:rsidR="004A70CE" w:rsidRDefault="004A70CE" w:rsidP="0042530D">
      <w:pPr>
        <w:pStyle w:val="Default"/>
        <w:rPr>
          <w:rFonts w:asciiTheme="minorHAnsi" w:eastAsia="MS PGothic" w:hAnsiTheme="minorHAnsi" w:cstheme="minorHAnsi"/>
          <w:b/>
          <w:bCs/>
          <w:color w:val="auto"/>
        </w:rPr>
      </w:pPr>
    </w:p>
    <w:p w14:paraId="0C6A7367" w14:textId="3C281926" w:rsidR="006D6D95" w:rsidRPr="006D6D95" w:rsidRDefault="006D6D95" w:rsidP="007558ED">
      <w:pPr>
        <w:spacing w:after="0" w:line="240" w:lineRule="auto"/>
        <w:rPr>
          <w:rFonts w:cstheme="minorHAnsi"/>
          <w:b/>
          <w:bCs/>
        </w:rPr>
      </w:pPr>
      <w:r w:rsidRPr="006D6D95">
        <w:rPr>
          <w:rFonts w:cstheme="minorHAnsi"/>
          <w:b/>
          <w:bCs/>
        </w:rPr>
        <w:t xml:space="preserve">HBOT as a </w:t>
      </w:r>
      <w:r w:rsidR="007558ED">
        <w:rPr>
          <w:rFonts w:cstheme="minorHAnsi"/>
          <w:b/>
          <w:bCs/>
        </w:rPr>
        <w:t>t</w:t>
      </w:r>
      <w:r w:rsidRPr="006D6D95">
        <w:rPr>
          <w:rFonts w:cstheme="minorHAnsi"/>
          <w:b/>
          <w:bCs/>
        </w:rPr>
        <w:t xml:space="preserve">reatment for </w:t>
      </w:r>
      <w:r w:rsidR="007558ED">
        <w:rPr>
          <w:rFonts w:cstheme="minorHAnsi"/>
          <w:b/>
          <w:bCs/>
        </w:rPr>
        <w:t>d</w:t>
      </w:r>
      <w:r w:rsidRPr="006D6D95">
        <w:rPr>
          <w:rFonts w:cstheme="minorHAnsi"/>
          <w:b/>
          <w:bCs/>
        </w:rPr>
        <w:t>epression</w:t>
      </w:r>
    </w:p>
    <w:p w14:paraId="44F4879B" w14:textId="77777777" w:rsidR="006D6D95" w:rsidRDefault="006D6D95" w:rsidP="00534FAB">
      <w:pPr>
        <w:spacing w:after="0" w:line="240" w:lineRule="auto"/>
        <w:ind w:firstLine="720"/>
        <w:rPr>
          <w:rFonts w:cstheme="minorHAnsi"/>
        </w:rPr>
      </w:pPr>
    </w:p>
    <w:p w14:paraId="3B8FBD2F" w14:textId="4CA78CCC" w:rsidR="006D6D95" w:rsidRDefault="006D6D95" w:rsidP="006D6D95">
      <w:pPr>
        <w:spacing w:after="0" w:line="240" w:lineRule="auto"/>
        <w:rPr>
          <w:rFonts w:cstheme="minorHAnsi"/>
        </w:rPr>
      </w:pPr>
      <w:r>
        <w:rPr>
          <w:rFonts w:cstheme="minorHAnsi"/>
        </w:rPr>
        <w:t>T</w:t>
      </w:r>
      <w:r w:rsidRPr="007131AD">
        <w:rPr>
          <w:rFonts w:cstheme="minorHAnsi"/>
        </w:rPr>
        <w:t>he utilization of multi-module treatment, combining drugs, psychotherapy and non-pharmacological biological forms of treatment is advocated for treatment resistant depression</w:t>
      </w:r>
      <w:r w:rsidRPr="007131AD">
        <w:rPr>
          <w:rStyle w:val="EndnoteReference"/>
          <w:rFonts w:cstheme="minorHAnsi"/>
        </w:rPr>
        <w:endnoteReference w:id="144"/>
      </w:r>
      <w:r w:rsidRPr="007131AD">
        <w:rPr>
          <w:rFonts w:cstheme="minorHAnsi"/>
        </w:rPr>
        <w:t xml:space="preserve">. </w:t>
      </w:r>
      <w:r w:rsidRPr="006D6D95">
        <w:rPr>
          <w:rFonts w:cstheme="minorHAnsi"/>
        </w:rPr>
        <w:t xml:space="preserve">The treatment for major depressive disorder (MDD) </w:t>
      </w:r>
      <w:r>
        <w:rPr>
          <w:rFonts w:cstheme="minorHAnsi"/>
        </w:rPr>
        <w:t>involves</w:t>
      </w:r>
      <w:r w:rsidRPr="006D6D95">
        <w:rPr>
          <w:rFonts w:cstheme="minorHAnsi"/>
        </w:rPr>
        <w:t xml:space="preserve"> therapies </w:t>
      </w:r>
      <w:r w:rsidRPr="006D6D95">
        <w:rPr>
          <w:rFonts w:cstheme="minorHAnsi"/>
        </w:rPr>
        <w:lastRenderedPageBreak/>
        <w:t>such as drug therapy</w:t>
      </w:r>
      <w:r>
        <w:rPr>
          <w:rFonts w:cstheme="minorHAnsi"/>
        </w:rPr>
        <w:t xml:space="preserve">, </w:t>
      </w:r>
      <w:r w:rsidRPr="006D6D95">
        <w:rPr>
          <w:rFonts w:cstheme="minorHAnsi"/>
        </w:rPr>
        <w:t>cognitive-behavioral psychotherapy, psychoeducation, aerobic exercise, neuromodulatory treatment through vagus nerve stimulation, transcranial direct current stimulation, repetitive transcranial magnetic stimulation</w:t>
      </w:r>
      <w:r>
        <w:rPr>
          <w:rFonts w:cstheme="minorHAnsi"/>
        </w:rPr>
        <w:t xml:space="preserve">, </w:t>
      </w:r>
    </w:p>
    <w:p w14:paraId="6CAF2E31" w14:textId="6E6F4BB4" w:rsidR="004A70CE" w:rsidRPr="007131AD" w:rsidRDefault="006D6D95" w:rsidP="006D6D95">
      <w:pPr>
        <w:spacing w:after="0" w:line="240" w:lineRule="auto"/>
        <w:rPr>
          <w:rFonts w:cstheme="minorHAnsi"/>
        </w:rPr>
      </w:pPr>
      <w:r w:rsidRPr="006D6D95">
        <w:rPr>
          <w:rFonts w:cstheme="minorHAnsi"/>
        </w:rPr>
        <w:t>deep brain stimulati</w:t>
      </w:r>
      <w:r w:rsidR="003F6E1E">
        <w:rPr>
          <w:rFonts w:cstheme="minorHAnsi"/>
        </w:rPr>
        <w:t>on</w:t>
      </w:r>
      <w:r>
        <w:rPr>
          <w:rFonts w:cstheme="minorHAnsi"/>
        </w:rPr>
        <w:t xml:space="preserve">, and </w:t>
      </w:r>
      <w:r w:rsidRPr="006D6D95">
        <w:rPr>
          <w:rFonts w:cstheme="minorHAnsi"/>
        </w:rPr>
        <w:t>light therapy</w:t>
      </w:r>
      <w:r>
        <w:rPr>
          <w:rFonts w:cstheme="minorHAnsi"/>
        </w:rPr>
        <w:t xml:space="preserve">.  This plethora of therapies speaks to the ineffectiveness of single therapies and the search for something better.  </w:t>
      </w:r>
      <w:r w:rsidR="004A70CE" w:rsidRPr="007131AD">
        <w:rPr>
          <w:rFonts w:cstheme="minorHAnsi"/>
        </w:rPr>
        <w:t>The insufficient effectiveness of pharmacological methods justifies biological and non-pharmacological methods of treating mental disorders that can be used as augmentation of pharmacological treatment</w:t>
      </w:r>
      <w:r w:rsidR="004A70CE" w:rsidRPr="007131AD">
        <w:rPr>
          <w:rStyle w:val="EndnoteReference"/>
          <w:rFonts w:cstheme="minorHAnsi"/>
        </w:rPr>
        <w:endnoteReference w:id="145"/>
      </w:r>
      <w:r w:rsidR="004A70CE" w:rsidRPr="007131AD">
        <w:rPr>
          <w:rFonts w:cstheme="minorHAnsi"/>
        </w:rPr>
        <w:t>.</w:t>
      </w:r>
    </w:p>
    <w:p w14:paraId="6F6757B2" w14:textId="77777777" w:rsidR="004A70CE" w:rsidRDefault="004A70CE" w:rsidP="0039697D">
      <w:pPr>
        <w:rPr>
          <w:rFonts w:cstheme="minorHAnsi"/>
        </w:rPr>
      </w:pPr>
    </w:p>
    <w:p w14:paraId="0023857B" w14:textId="18AC202A" w:rsidR="004A70CE" w:rsidRPr="003F46E4" w:rsidRDefault="003F6E1E" w:rsidP="0039697D">
      <w:pPr>
        <w:rPr>
          <w:rFonts w:cstheme="minorHAnsi"/>
        </w:rPr>
      </w:pPr>
      <w:r>
        <w:rPr>
          <w:rFonts w:cstheme="minorHAnsi"/>
        </w:rPr>
        <w:t>Through the actions of</w:t>
      </w:r>
      <w:r w:rsidR="00DC3CD7">
        <w:rPr>
          <w:rFonts w:cstheme="minorHAnsi"/>
        </w:rPr>
        <w:t xml:space="preserve"> HBOT </w:t>
      </w:r>
      <w:r>
        <w:rPr>
          <w:rFonts w:cstheme="minorHAnsi"/>
        </w:rPr>
        <w:t xml:space="preserve">in </w:t>
      </w:r>
      <w:r w:rsidR="00DC3CD7">
        <w:rPr>
          <w:rFonts w:cstheme="minorHAnsi"/>
        </w:rPr>
        <w:t>reduc</w:t>
      </w:r>
      <w:r>
        <w:rPr>
          <w:rFonts w:cstheme="minorHAnsi"/>
        </w:rPr>
        <w:t>ing</w:t>
      </w:r>
      <w:r w:rsidR="00DC3CD7">
        <w:rPr>
          <w:rFonts w:cstheme="minorHAnsi"/>
        </w:rPr>
        <w:t xml:space="preserve"> inflammation, activat</w:t>
      </w:r>
      <w:r>
        <w:rPr>
          <w:rFonts w:cstheme="minorHAnsi"/>
        </w:rPr>
        <w:t>ing</w:t>
      </w:r>
      <w:r w:rsidR="00DC3CD7">
        <w:rPr>
          <w:rFonts w:cstheme="minorHAnsi"/>
        </w:rPr>
        <w:t xml:space="preserve"> “idling” areas of the damaged brain, </w:t>
      </w:r>
      <w:r>
        <w:rPr>
          <w:rFonts w:cstheme="minorHAnsi"/>
        </w:rPr>
        <w:t>inducing</w:t>
      </w:r>
      <w:r w:rsidR="00DC3CD7">
        <w:rPr>
          <w:rFonts w:cstheme="minorHAnsi"/>
        </w:rPr>
        <w:t xml:space="preserve"> neuroplasticity, and improv</w:t>
      </w:r>
      <w:r>
        <w:rPr>
          <w:rFonts w:cstheme="minorHAnsi"/>
        </w:rPr>
        <w:t>ing</w:t>
      </w:r>
      <w:r w:rsidR="00DC3CD7">
        <w:rPr>
          <w:rFonts w:cstheme="minorHAnsi"/>
        </w:rPr>
        <w:t xml:space="preserve"> cognition, it has pronounced anti-depressive properties which are long lasting and often permanent.  </w:t>
      </w:r>
      <w:r w:rsidR="004A70CE" w:rsidRPr="003F46E4">
        <w:rPr>
          <w:rFonts w:cstheme="minorHAnsi"/>
        </w:rPr>
        <w:t>When used for post-stroke depression, HBOT significantly reduces depression scores more than medication alone, while also reducing biomarkers of inflammation</w:t>
      </w:r>
      <w:r w:rsidR="004A70CE">
        <w:rPr>
          <w:rStyle w:val="EndnoteReference"/>
          <w:rFonts w:cstheme="minorHAnsi"/>
        </w:rPr>
        <w:endnoteReference w:id="146"/>
      </w:r>
      <w:r w:rsidR="004A70CE" w:rsidRPr="003F46E4">
        <w:rPr>
          <w:rFonts w:cstheme="minorHAnsi"/>
        </w:rPr>
        <w:t>.</w:t>
      </w:r>
      <w:r w:rsidR="004A70CE">
        <w:rPr>
          <w:rFonts w:cstheme="minorHAnsi"/>
        </w:rPr>
        <w:t xml:space="preserve"> </w:t>
      </w:r>
    </w:p>
    <w:p w14:paraId="572A6216" w14:textId="49FC8896" w:rsidR="004A70CE" w:rsidRDefault="004A70CE" w:rsidP="0039697D">
      <w:r>
        <w:t>In the NBIRR Study, depression scores in the PHQ-9 test were reduce</w:t>
      </w:r>
      <w:r w:rsidR="00DC3CD7">
        <w:t>d</w:t>
      </w:r>
      <w:r>
        <w:t xml:space="preserve"> 25% (p&lt;0.001) after treatment, and suicidal ideation was also reduced by 25% (p=0.109)</w:t>
      </w:r>
      <w:r w:rsidR="00DC3CD7">
        <w:t xml:space="preserve">. </w:t>
      </w:r>
      <w:r>
        <w:t xml:space="preserve"> The ANAM depression scores were likewise reduced by 24.8% (p=0.015)</w:t>
      </w:r>
      <w:r>
        <w:rPr>
          <w:rStyle w:val="EndnoteReference"/>
        </w:rPr>
        <w:endnoteReference w:id="147"/>
      </w:r>
      <w:r>
        <w:t>. In a randomized controlled trial treating spinal cord injured individuals with depression, HBO was found to be as effective as psychotherapy, and reduced anxiety</w:t>
      </w:r>
      <w:r>
        <w:rPr>
          <w:rStyle w:val="EndnoteReference"/>
        </w:rPr>
        <w:endnoteReference w:id="148"/>
      </w:r>
      <w:r>
        <w:t xml:space="preserve">.  In this study, the </w:t>
      </w:r>
      <w:r w:rsidRPr="00442944">
        <w:t>Hamilton Depression Rating Scale score decreased on average by 50% in the HBOT</w:t>
      </w:r>
      <w:r>
        <w:t xml:space="preserve"> </w:t>
      </w:r>
      <w:r w:rsidRPr="00442944">
        <w:t>group</w:t>
      </w:r>
      <w:r>
        <w:t>.</w:t>
      </w:r>
      <w:r w:rsidR="007D52FF">
        <w:t xml:space="preserve">  Of note also, is that only two of the more than 31,000 individuals (&gt;12,000 were veterans) treated for TBI and/or PTSD by the </w:t>
      </w:r>
      <w:proofErr w:type="spellStart"/>
      <w:r w:rsidR="007D52FF">
        <w:t>TreatN</w:t>
      </w:r>
      <w:r w:rsidR="003F6E1E">
        <w:t>OW</w:t>
      </w:r>
      <w:proofErr w:type="spellEnd"/>
      <w:r w:rsidR="007D52FF">
        <w:t xml:space="preserve"> Coalition since 2007 are known to have committed suicide.  This remarkable record speaks to the efficacy of HBOT for depression</w:t>
      </w:r>
      <w:r w:rsidR="007D52FF">
        <w:rPr>
          <w:rStyle w:val="EndnoteReference"/>
        </w:rPr>
        <w:endnoteReference w:id="149"/>
      </w:r>
      <w:r w:rsidR="007D52FF">
        <w:t>.</w:t>
      </w:r>
    </w:p>
    <w:p w14:paraId="3866D3AF" w14:textId="253E9589" w:rsidR="004A70CE" w:rsidRPr="00B36007" w:rsidRDefault="004A70CE" w:rsidP="00B36007">
      <w:pPr>
        <w:pStyle w:val="ListParagraph"/>
        <w:numPr>
          <w:ilvl w:val="0"/>
          <w:numId w:val="7"/>
        </w:numPr>
        <w:rPr>
          <w:b/>
          <w:bCs/>
        </w:rPr>
      </w:pPr>
      <w:r w:rsidRPr="00B36007">
        <w:rPr>
          <w:b/>
          <w:bCs/>
        </w:rPr>
        <w:t>Conclusions</w:t>
      </w:r>
    </w:p>
    <w:p w14:paraId="57CC3174" w14:textId="6B9DC07E" w:rsidR="004A70CE" w:rsidRDefault="004A70CE" w:rsidP="0039697D">
      <w:r>
        <w:t>Enough evidence is available from randomized controlled studies and the effective treatment of more than 31,000 individuals with TBI and/or PTSD including more than 12,000 veterans, to allow immediate, safe, and effective use of HBO for these maladies.</w:t>
      </w:r>
    </w:p>
    <w:p w14:paraId="66EE23CF" w14:textId="20C42650" w:rsidR="004A70CE" w:rsidRDefault="004A70CE" w:rsidP="0039697D">
      <w:r>
        <w:t>HBOT will has the following mental health benefits:</w:t>
      </w:r>
    </w:p>
    <w:p w14:paraId="62F49759" w14:textId="139D5980" w:rsidR="004A70CE" w:rsidRDefault="004A70CE" w:rsidP="007A50C4">
      <w:pPr>
        <w:pStyle w:val="ListParagraph"/>
        <w:numPr>
          <w:ilvl w:val="0"/>
          <w:numId w:val="3"/>
        </w:numPr>
      </w:pPr>
      <w:r>
        <w:lastRenderedPageBreak/>
        <w:t>Reduce depression</w:t>
      </w:r>
    </w:p>
    <w:p w14:paraId="29C6027C" w14:textId="688EB22F" w:rsidR="004A70CE" w:rsidRDefault="004A70CE" w:rsidP="007A50C4">
      <w:pPr>
        <w:pStyle w:val="ListParagraph"/>
        <w:numPr>
          <w:ilvl w:val="0"/>
          <w:numId w:val="3"/>
        </w:numPr>
      </w:pPr>
      <w:r>
        <w:t>Reduce suicidal ideation and suicide</w:t>
      </w:r>
    </w:p>
    <w:p w14:paraId="218E3B89" w14:textId="61A93711" w:rsidR="004A70CE" w:rsidRDefault="004A70CE" w:rsidP="007A50C4">
      <w:pPr>
        <w:pStyle w:val="ListParagraph"/>
        <w:numPr>
          <w:ilvl w:val="0"/>
          <w:numId w:val="3"/>
        </w:numPr>
      </w:pPr>
      <w:r>
        <w:t>Reduce PTSD</w:t>
      </w:r>
      <w:r w:rsidR="003F6E1E">
        <w:t xml:space="preserve"> symptoms</w:t>
      </w:r>
    </w:p>
    <w:p w14:paraId="152F44BA" w14:textId="7F377B84" w:rsidR="004A70CE" w:rsidRDefault="004A70CE" w:rsidP="007A50C4">
      <w:pPr>
        <w:pStyle w:val="ListParagraph"/>
        <w:numPr>
          <w:ilvl w:val="0"/>
          <w:numId w:val="3"/>
        </w:numPr>
      </w:pPr>
      <w:r>
        <w:t>Improve cognition</w:t>
      </w:r>
    </w:p>
    <w:p w14:paraId="6E63A9CC" w14:textId="366460A2" w:rsidR="004A70CE" w:rsidRDefault="004A70CE" w:rsidP="007A50C4">
      <w:pPr>
        <w:pStyle w:val="ListParagraph"/>
        <w:numPr>
          <w:ilvl w:val="0"/>
          <w:numId w:val="3"/>
        </w:numPr>
      </w:pPr>
      <w:r>
        <w:t>Improve mood and well-being</w:t>
      </w:r>
    </w:p>
    <w:p w14:paraId="565B097D" w14:textId="50F588AB" w:rsidR="004A70CE" w:rsidRDefault="004A70CE" w:rsidP="007A50C4">
      <w:pPr>
        <w:pStyle w:val="ListParagraph"/>
        <w:numPr>
          <w:ilvl w:val="0"/>
          <w:numId w:val="3"/>
        </w:numPr>
      </w:pPr>
      <w:r>
        <w:t>Reduce pain and narcotic dependence</w:t>
      </w:r>
    </w:p>
    <w:p w14:paraId="52552716" w14:textId="27C9601E" w:rsidR="008F7E6A" w:rsidRDefault="004A70CE">
      <w:r>
        <w:t xml:space="preserve">These effects are long-lasting for years, if not permanent, and </w:t>
      </w:r>
      <w:r w:rsidR="003F6E1E">
        <w:t xml:space="preserve">while they </w:t>
      </w:r>
      <w:r>
        <w:t>can be achieved with other therapies, a multifaceted approach using HBOT as one of the treatments is preferrable.</w:t>
      </w:r>
      <w:r w:rsidR="00E74B7B">
        <w:t xml:space="preserve">  It is recommended that HBOT be provided as soon as possible to a large number of the veteran population with PTSD and/or TBI, and perhaps as well to those </w:t>
      </w:r>
      <w:r w:rsidR="00577311">
        <w:t xml:space="preserve">24,000 veterans </w:t>
      </w:r>
      <w:r w:rsidR="00E74B7B">
        <w:t>with SCI</w:t>
      </w:r>
      <w:r w:rsidR="00577311">
        <w:rPr>
          <w:rStyle w:val="EndnoteReference"/>
        </w:rPr>
        <w:endnoteReference w:id="150"/>
      </w:r>
      <w:r w:rsidR="00E74B7B">
        <w:t xml:space="preserve"> and </w:t>
      </w:r>
      <w:r w:rsidR="00577311">
        <w:t xml:space="preserve">the more than 160,000 veterans with </w:t>
      </w:r>
      <w:r w:rsidR="00E74B7B">
        <w:t>treatment resistant depression</w:t>
      </w:r>
      <w:r w:rsidR="00577311">
        <w:rPr>
          <w:rStyle w:val="EndnoteReference"/>
        </w:rPr>
        <w:endnoteReference w:id="151"/>
      </w:r>
      <w:r w:rsidR="00E74B7B">
        <w:t xml:space="preserve">.  The cumulative body of evidence of the long history of HBOT for brain injuries, its safety and the thousands successfully treated </w:t>
      </w:r>
      <w:proofErr w:type="spellStart"/>
      <w:r w:rsidR="00E74B7B">
        <w:t>n</w:t>
      </w:r>
      <w:proofErr w:type="spellEnd"/>
      <w:r w:rsidR="00E74B7B">
        <w:t xml:space="preserve"> the US and Israel (40,000 in Israel), as well as the consistent efficacy shown in randomized studies here and abroad is more than sufficient proof of its efficacy.  It is also recommended that strict quality control of HBOT administration be instituted using approved hyperbaric chambers under trained physician direction to ensure adherence to safety and treatment protocols.  </w:t>
      </w:r>
      <w:r w:rsidR="004C18CC">
        <w:t>Good record keeping is a</w:t>
      </w:r>
      <w:r w:rsidR="00E74B7B">
        <w:t>lso recommended to assess efficacy and identify future areas of HBOT use.</w:t>
      </w:r>
      <w:r w:rsidR="004C18CC">
        <w:t xml:space="preserve">  Establishment of a working group with veteran representation is one way to determine how to implement these recommendations</w:t>
      </w:r>
      <w:r w:rsidR="008F7E6A">
        <w:t xml:space="preserve"> </w:t>
      </w:r>
      <w:r w:rsidR="004C18CC">
        <w:t>effectively and rapidly.</w:t>
      </w:r>
    </w:p>
    <w:p w14:paraId="442B65AC" w14:textId="7F5DF38B" w:rsidR="009E563B" w:rsidRPr="00F10AA4" w:rsidRDefault="009E563B">
      <w:r>
        <w:rPr>
          <w:rFonts w:cstheme="minorHAnsi"/>
        </w:rPr>
        <w:br w:type="page"/>
      </w:r>
    </w:p>
    <w:p w14:paraId="4D3F38DB" w14:textId="0A428BC1" w:rsidR="00965CA7" w:rsidRDefault="009E563B" w:rsidP="00965CA7">
      <w:pPr>
        <w:pStyle w:val="ListParagraph"/>
        <w:rPr>
          <w:rFonts w:cstheme="minorHAnsi"/>
          <w:b/>
          <w:bCs/>
        </w:rPr>
      </w:pPr>
      <w:r w:rsidRPr="00F10AA4">
        <w:rPr>
          <w:rFonts w:cstheme="minorHAnsi"/>
          <w:b/>
          <w:bCs/>
        </w:rPr>
        <w:lastRenderedPageBreak/>
        <w:t>Appendix 1 – Summary of Studies of HBOT in TBI and PTSD</w:t>
      </w:r>
    </w:p>
    <w:p w14:paraId="7B691B29" w14:textId="77777777" w:rsidR="004A017A" w:rsidRDefault="004A017A" w:rsidP="00965CA7">
      <w:pPr>
        <w:pStyle w:val="ListParagraph"/>
        <w:rPr>
          <w:rFonts w:cstheme="minorHAnsi"/>
          <w:b/>
          <w:bCs/>
        </w:rPr>
      </w:pPr>
    </w:p>
    <w:p w14:paraId="10A22A82" w14:textId="3D38065A" w:rsidR="00F10AA4" w:rsidRPr="00F10AA4" w:rsidRDefault="004A017A" w:rsidP="00965CA7">
      <w:pPr>
        <w:pStyle w:val="ListParagraph"/>
        <w:rPr>
          <w:rFonts w:cstheme="minorHAnsi"/>
          <w:b/>
          <w:bCs/>
        </w:rPr>
      </w:pPr>
      <w:r>
        <w:rPr>
          <w:noProof/>
        </w:rPr>
        <w:drawing>
          <wp:inline distT="0" distB="0" distL="0" distR="0" wp14:anchorId="29587E64" wp14:editId="79F5DE89">
            <wp:extent cx="6656672" cy="4245773"/>
            <wp:effectExtent l="5080" t="0" r="0" b="0"/>
            <wp:docPr id="1786152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52510" name=""/>
                    <pic:cNvPicPr/>
                  </pic:nvPicPr>
                  <pic:blipFill>
                    <a:blip r:embed="rId10"/>
                    <a:stretch>
                      <a:fillRect/>
                    </a:stretch>
                  </pic:blipFill>
                  <pic:spPr>
                    <a:xfrm rot="16200000">
                      <a:off x="0" y="0"/>
                      <a:ext cx="6665005" cy="4251088"/>
                    </a:xfrm>
                    <a:prstGeom prst="rect">
                      <a:avLst/>
                    </a:prstGeom>
                  </pic:spPr>
                </pic:pic>
              </a:graphicData>
            </a:graphic>
          </wp:inline>
        </w:drawing>
      </w:r>
    </w:p>
    <w:p w14:paraId="434F3643" w14:textId="05C8E0C0" w:rsidR="009E563B" w:rsidRDefault="009E563B" w:rsidP="00965CA7">
      <w:pPr>
        <w:pStyle w:val="ListParagraph"/>
        <w:rPr>
          <w:rFonts w:cstheme="minorHAnsi"/>
        </w:rPr>
      </w:pPr>
    </w:p>
    <w:p w14:paraId="00071EA4" w14:textId="77777777" w:rsidR="009E563B" w:rsidRDefault="009E563B" w:rsidP="00965CA7">
      <w:pPr>
        <w:pStyle w:val="ListParagraph"/>
        <w:rPr>
          <w:rFonts w:cstheme="minorHAnsi"/>
        </w:rPr>
      </w:pPr>
    </w:p>
    <w:p w14:paraId="62334DDC" w14:textId="77777777" w:rsidR="00B17EF4" w:rsidRDefault="00B17EF4" w:rsidP="00965CA7">
      <w:pPr>
        <w:pStyle w:val="ListParagraph"/>
        <w:rPr>
          <w:rFonts w:cstheme="minorHAnsi"/>
        </w:rPr>
      </w:pPr>
    </w:p>
    <w:p w14:paraId="3673BB50" w14:textId="10E5BA71" w:rsidR="00B17EF4" w:rsidRDefault="00B17EF4">
      <w:pPr>
        <w:rPr>
          <w:rFonts w:cstheme="minorHAnsi"/>
        </w:rPr>
      </w:pPr>
      <w:r>
        <w:rPr>
          <w:rFonts w:cstheme="minorHAnsi"/>
        </w:rPr>
        <w:br w:type="page"/>
      </w:r>
    </w:p>
    <w:p w14:paraId="582E3460" w14:textId="476CC566" w:rsidR="00B17EF4" w:rsidRDefault="00B17EF4" w:rsidP="00965CA7">
      <w:pPr>
        <w:pStyle w:val="ListParagraph"/>
        <w:rPr>
          <w:rFonts w:cstheme="minorHAnsi"/>
          <w:b/>
          <w:bCs/>
        </w:rPr>
      </w:pPr>
      <w:r>
        <w:rPr>
          <w:rFonts w:cstheme="minorHAnsi"/>
          <w:b/>
          <w:bCs/>
        </w:rPr>
        <w:lastRenderedPageBreak/>
        <w:t>Appendix 2 – The NBIRR Study</w:t>
      </w:r>
    </w:p>
    <w:p w14:paraId="2D251C65" w14:textId="77777777" w:rsidR="00B17EF4" w:rsidRPr="00EC3875" w:rsidRDefault="00B17EF4" w:rsidP="00192B2D">
      <w:pPr>
        <w:widowControl w:val="0"/>
        <w:spacing w:line="480" w:lineRule="auto"/>
        <w:jc w:val="center"/>
        <w:rPr>
          <w:rFonts w:ascii="Arial Bold" w:hAnsi="Arial Bold"/>
        </w:rPr>
      </w:pPr>
      <w:r w:rsidRPr="00EC3875">
        <w:rPr>
          <w:rFonts w:ascii="Arial Bold" w:hAnsi="Arial Bold"/>
        </w:rPr>
        <w:t>Cover Letter</w:t>
      </w:r>
    </w:p>
    <w:p w14:paraId="56F5E16A" w14:textId="77777777" w:rsidR="00B17EF4" w:rsidRPr="00EC3875" w:rsidRDefault="00B17EF4">
      <w:pPr>
        <w:widowControl w:val="0"/>
        <w:jc w:val="center"/>
        <w:rPr>
          <w:rFonts w:ascii="Arial" w:hAnsi="Arial"/>
        </w:rPr>
      </w:pPr>
      <w:r w:rsidRPr="00EC3875">
        <w:rPr>
          <w:rStyle w:val="Strong1"/>
          <w:rFonts w:ascii="Arial Bold" w:hAnsi="Arial Bold"/>
        </w:rPr>
        <w:t>International Hyperbaric Medical Foundation</w:t>
      </w:r>
      <w:r w:rsidRPr="00EC3875">
        <w:rPr>
          <w:rFonts w:ascii="Arial Bold" w:hAnsi="Arial Bold"/>
        </w:rPr>
        <w:cr/>
      </w:r>
      <w:r w:rsidRPr="00EC3875">
        <w:rPr>
          <w:rStyle w:val="Strong1"/>
          <w:rFonts w:ascii="Arial Bold" w:hAnsi="Arial Bold"/>
        </w:rPr>
        <w:t>8210 Cinder Bed Road, Ste C-3</w:t>
      </w:r>
      <w:r w:rsidRPr="00EC3875">
        <w:rPr>
          <w:rFonts w:ascii="Arial Bold" w:hAnsi="Arial Bold"/>
        </w:rPr>
        <w:cr/>
      </w:r>
      <w:r w:rsidRPr="00EC3875">
        <w:rPr>
          <w:rStyle w:val="Strong1"/>
          <w:rFonts w:ascii="Arial Bold" w:hAnsi="Arial Bold"/>
        </w:rPr>
        <w:t>Lorton, Virginia 22079-1135</w:t>
      </w:r>
      <w:r w:rsidRPr="00EC3875">
        <w:rPr>
          <w:rFonts w:ascii="Arial" w:hAnsi="Arial"/>
        </w:rPr>
        <w:t> </w:t>
      </w:r>
    </w:p>
    <w:p w14:paraId="670FEC52" w14:textId="77777777" w:rsidR="00B17EF4" w:rsidRPr="00EC3875" w:rsidRDefault="00B17EF4" w:rsidP="00834472">
      <w:pPr>
        <w:widowControl w:val="0"/>
        <w:spacing w:after="0" w:line="240" w:lineRule="auto"/>
        <w:jc w:val="center"/>
        <w:rPr>
          <w:rFonts w:ascii="Arial" w:hAnsi="Arial"/>
        </w:rPr>
      </w:pPr>
      <w:r w:rsidRPr="00EC3875">
        <w:rPr>
          <w:rFonts w:ascii="Arial" w:hAnsi="Arial"/>
        </w:rPr>
        <w:t>3 May 2013</w:t>
      </w:r>
    </w:p>
    <w:p w14:paraId="68E9E4A5" w14:textId="77777777" w:rsidR="00B17EF4" w:rsidRPr="00EC3875" w:rsidRDefault="00B17EF4" w:rsidP="00834472">
      <w:pPr>
        <w:widowControl w:val="0"/>
        <w:spacing w:after="0" w:line="240" w:lineRule="auto"/>
        <w:jc w:val="center"/>
        <w:rPr>
          <w:rFonts w:ascii="Arial" w:hAnsi="Arial"/>
        </w:rPr>
      </w:pPr>
    </w:p>
    <w:p w14:paraId="6FF58C7E" w14:textId="77777777" w:rsidR="00B17EF4" w:rsidRPr="00EC3875" w:rsidRDefault="00B17EF4" w:rsidP="00834472">
      <w:pPr>
        <w:widowControl w:val="0"/>
        <w:spacing w:after="0" w:line="240" w:lineRule="auto"/>
        <w:rPr>
          <w:rFonts w:ascii="Arial" w:hAnsi="Arial"/>
        </w:rPr>
      </w:pPr>
      <w:r w:rsidRPr="00EC3875">
        <w:rPr>
          <w:rFonts w:ascii="Arial" w:hAnsi="Arial"/>
        </w:rPr>
        <w:t>The Editor</w:t>
      </w:r>
    </w:p>
    <w:p w14:paraId="3A1BB5F6" w14:textId="77777777" w:rsidR="00B17EF4" w:rsidRPr="00EC3875" w:rsidRDefault="00B17EF4" w:rsidP="00834472">
      <w:pPr>
        <w:widowControl w:val="0"/>
        <w:spacing w:after="0" w:line="240" w:lineRule="auto"/>
        <w:rPr>
          <w:rFonts w:ascii="Arial" w:hAnsi="Arial"/>
        </w:rPr>
      </w:pPr>
      <w:r w:rsidRPr="00EC3875">
        <w:rPr>
          <w:rFonts w:ascii="Arial" w:hAnsi="Arial"/>
        </w:rPr>
        <w:t>Undersea and Hyperbaric Medicine</w:t>
      </w:r>
    </w:p>
    <w:p w14:paraId="54205F54" w14:textId="77777777" w:rsidR="00B17EF4" w:rsidRPr="00EC3875" w:rsidRDefault="00B17EF4" w:rsidP="00834472">
      <w:pPr>
        <w:widowControl w:val="0"/>
        <w:spacing w:after="0" w:line="240" w:lineRule="auto"/>
        <w:rPr>
          <w:rFonts w:ascii="Arial" w:hAnsi="Arial"/>
        </w:rPr>
      </w:pPr>
      <w:r w:rsidRPr="00EC3875">
        <w:rPr>
          <w:rFonts w:ascii="Arial" w:hAnsi="Arial"/>
        </w:rPr>
        <w:t>21 West Colony Place, Suite 280</w:t>
      </w:r>
      <w:r w:rsidRPr="00EC3875">
        <w:rPr>
          <w:rFonts w:ascii="Arial" w:hAnsi="Arial"/>
        </w:rPr>
        <w:cr/>
        <w:t>Durham, NC 27705</w:t>
      </w:r>
    </w:p>
    <w:p w14:paraId="78F605DC" w14:textId="77777777" w:rsidR="00B17EF4" w:rsidRPr="00EC3875" w:rsidRDefault="00B17EF4" w:rsidP="00834472">
      <w:pPr>
        <w:widowControl w:val="0"/>
        <w:spacing w:after="0" w:line="240" w:lineRule="auto"/>
        <w:rPr>
          <w:rFonts w:ascii="Arial" w:hAnsi="Arial"/>
        </w:rPr>
      </w:pPr>
    </w:p>
    <w:p w14:paraId="114BBBCA" w14:textId="77777777" w:rsidR="00B17EF4" w:rsidRPr="00EC3875" w:rsidRDefault="00B17EF4" w:rsidP="00834472">
      <w:pPr>
        <w:widowControl w:val="0"/>
        <w:spacing w:after="0" w:line="240" w:lineRule="auto"/>
        <w:rPr>
          <w:rFonts w:ascii="Arial" w:hAnsi="Arial"/>
        </w:rPr>
      </w:pPr>
      <w:r w:rsidRPr="00EC3875">
        <w:rPr>
          <w:rFonts w:ascii="Arial" w:hAnsi="Arial"/>
        </w:rPr>
        <w:t>Dear Sir:</w:t>
      </w:r>
    </w:p>
    <w:p w14:paraId="216FF965" w14:textId="77777777" w:rsidR="00B17EF4" w:rsidRPr="00EC3875" w:rsidRDefault="00B17EF4" w:rsidP="00834472">
      <w:pPr>
        <w:widowControl w:val="0"/>
        <w:spacing w:after="0" w:line="240" w:lineRule="auto"/>
        <w:rPr>
          <w:rFonts w:ascii="Arial" w:hAnsi="Arial"/>
        </w:rPr>
      </w:pPr>
    </w:p>
    <w:p w14:paraId="5FBF5654" w14:textId="77777777" w:rsidR="00B17EF4" w:rsidRPr="00EC3875" w:rsidRDefault="00B17EF4" w:rsidP="00834472">
      <w:pPr>
        <w:widowControl w:val="0"/>
        <w:spacing w:after="0" w:line="240" w:lineRule="auto"/>
        <w:rPr>
          <w:rFonts w:ascii="Arial" w:hAnsi="Arial"/>
        </w:rPr>
      </w:pPr>
      <w:r w:rsidRPr="00EC3875">
        <w:rPr>
          <w:rFonts w:ascii="Arial" w:hAnsi="Arial"/>
        </w:rPr>
        <w:t>The attached manuscript, #2442, “</w:t>
      </w:r>
      <w:r w:rsidRPr="00EC3875">
        <w:rPr>
          <w:rFonts w:ascii="Arial Italic" w:hAnsi="Arial Italic"/>
        </w:rPr>
        <w:t>The National Brain Injury Rescue and Rehabilitation Trial – a multicenter study of hyperbaric oxygen for mild traumatic brain injury with post-concussive symptoms</w:t>
      </w:r>
      <w:r w:rsidRPr="00EC3875">
        <w:rPr>
          <w:rFonts w:ascii="Arial" w:hAnsi="Arial"/>
        </w:rPr>
        <w:t>” has been revised and the suggestions and recommendations of the reviewers have been included in the revision.  Among the changes the statistical methods have been explained and additional statistics provided, word corrections have been made and allusions to bias on the part of the authors have been removed. The results section has been shortened.</w:t>
      </w:r>
    </w:p>
    <w:p w14:paraId="4A5FCF06" w14:textId="77777777" w:rsidR="00B17EF4" w:rsidRPr="00EC3875" w:rsidRDefault="00B17EF4" w:rsidP="00834472">
      <w:pPr>
        <w:widowControl w:val="0"/>
        <w:spacing w:after="0" w:line="240" w:lineRule="auto"/>
        <w:rPr>
          <w:rFonts w:ascii="Arial" w:hAnsi="Arial"/>
        </w:rPr>
      </w:pPr>
    </w:p>
    <w:p w14:paraId="5895F258" w14:textId="77777777" w:rsidR="00B17EF4" w:rsidRPr="00EC3875" w:rsidRDefault="00B17EF4" w:rsidP="00834472">
      <w:pPr>
        <w:widowControl w:val="0"/>
        <w:spacing w:after="0" w:line="240" w:lineRule="auto"/>
        <w:rPr>
          <w:rFonts w:ascii="Arial" w:hAnsi="Arial"/>
        </w:rPr>
      </w:pPr>
      <w:r w:rsidRPr="00EC3875">
        <w:rPr>
          <w:rFonts w:ascii="Arial" w:hAnsi="Arial"/>
        </w:rPr>
        <w:t>Statistically we applied the revised phraseology suggested by the reviewers, revised the descriptive summary tables to include mean changes with 95% confidence intervals along with the p values. We have also further explained the preliminary and exploratory nature of this study, and made it clear that results should be considered tentative, and that no conclusive inferences can be drawn from nominally significant results (p&lt;0.05) without confirmation from subsequent studies.</w:t>
      </w:r>
    </w:p>
    <w:p w14:paraId="213C53C9" w14:textId="77777777" w:rsidR="00B17EF4" w:rsidRPr="00EC3875" w:rsidRDefault="00B17EF4" w:rsidP="00834472">
      <w:pPr>
        <w:widowControl w:val="0"/>
        <w:spacing w:after="0" w:line="240" w:lineRule="auto"/>
        <w:rPr>
          <w:rFonts w:ascii="Arial" w:hAnsi="Arial"/>
        </w:rPr>
      </w:pPr>
    </w:p>
    <w:p w14:paraId="226710E0" w14:textId="77777777" w:rsidR="00B17EF4" w:rsidRPr="00EC3875" w:rsidRDefault="00B17EF4" w:rsidP="00834472">
      <w:pPr>
        <w:widowControl w:val="0"/>
        <w:spacing w:after="0" w:line="240" w:lineRule="auto"/>
        <w:rPr>
          <w:rFonts w:ascii="Arial" w:hAnsi="Arial"/>
        </w:rPr>
      </w:pPr>
      <w:r w:rsidRPr="00EC3875">
        <w:rPr>
          <w:rFonts w:ascii="Arial" w:hAnsi="Arial"/>
        </w:rPr>
        <w:t>All authors have read and approve the manuscript.  The article has not been published elsewhere and is not being considered for publication elsewhere.</w:t>
      </w:r>
    </w:p>
    <w:p w14:paraId="66FF2675" w14:textId="77777777" w:rsidR="00B17EF4" w:rsidRPr="00EC3875" w:rsidRDefault="00B17EF4" w:rsidP="00834472">
      <w:pPr>
        <w:widowControl w:val="0"/>
        <w:spacing w:after="0" w:line="240" w:lineRule="auto"/>
        <w:rPr>
          <w:rFonts w:ascii="Arial" w:hAnsi="Arial"/>
        </w:rPr>
      </w:pPr>
    </w:p>
    <w:p w14:paraId="65734279" w14:textId="77777777" w:rsidR="00B17EF4" w:rsidRPr="00EC3875" w:rsidRDefault="00B17EF4" w:rsidP="00834472">
      <w:pPr>
        <w:widowControl w:val="0"/>
        <w:spacing w:after="0" w:line="240" w:lineRule="auto"/>
        <w:rPr>
          <w:rFonts w:ascii="Arial" w:hAnsi="Arial"/>
        </w:rPr>
      </w:pPr>
      <w:r w:rsidRPr="00EC3875">
        <w:rPr>
          <w:rFonts w:ascii="Arial" w:hAnsi="Arial"/>
        </w:rPr>
        <w:t xml:space="preserve">Please consider the manuscript for publication in </w:t>
      </w:r>
      <w:r w:rsidRPr="00EC3875">
        <w:rPr>
          <w:rFonts w:ascii="Arial" w:hAnsi="Arial"/>
          <w:i/>
        </w:rPr>
        <w:t>Undersea and Hyperbaric Medicine.</w:t>
      </w:r>
    </w:p>
    <w:p w14:paraId="11CA1259" w14:textId="77777777" w:rsidR="00B17EF4" w:rsidRPr="00EC3875" w:rsidRDefault="00B17EF4" w:rsidP="00834472">
      <w:pPr>
        <w:widowControl w:val="0"/>
        <w:spacing w:after="0" w:line="240" w:lineRule="auto"/>
        <w:rPr>
          <w:rFonts w:ascii="Arial" w:hAnsi="Arial"/>
        </w:rPr>
      </w:pPr>
    </w:p>
    <w:p w14:paraId="102E9383" w14:textId="77777777" w:rsidR="00B17EF4" w:rsidRPr="00EC3875" w:rsidRDefault="00B17EF4" w:rsidP="00834472">
      <w:pPr>
        <w:widowControl w:val="0"/>
        <w:spacing w:after="0" w:line="240" w:lineRule="auto"/>
        <w:rPr>
          <w:rFonts w:ascii="Arial" w:hAnsi="Arial"/>
        </w:rPr>
      </w:pPr>
      <w:r w:rsidRPr="00EC3875">
        <w:rPr>
          <w:rFonts w:ascii="Arial" w:hAnsi="Arial"/>
        </w:rPr>
        <w:t>Sincerely,</w:t>
      </w:r>
    </w:p>
    <w:p w14:paraId="65DDBE63" w14:textId="77777777" w:rsidR="00B17EF4" w:rsidRPr="00EC3875" w:rsidRDefault="00B17EF4" w:rsidP="00834472">
      <w:pPr>
        <w:widowControl w:val="0"/>
        <w:spacing w:after="0" w:line="240" w:lineRule="auto"/>
        <w:rPr>
          <w:rFonts w:ascii="Arial" w:hAnsi="Arial"/>
        </w:rPr>
      </w:pPr>
      <w:r w:rsidRPr="00EC3875">
        <w:rPr>
          <w:rFonts w:ascii="Arial" w:hAnsi="Arial"/>
        </w:rPr>
        <w:t>//signed//</w:t>
      </w:r>
    </w:p>
    <w:p w14:paraId="06DDC5D8" w14:textId="77777777" w:rsidR="00B17EF4" w:rsidRPr="00EC3875" w:rsidRDefault="00B17EF4" w:rsidP="00834472">
      <w:pPr>
        <w:widowControl w:val="0"/>
        <w:spacing w:after="0" w:line="240" w:lineRule="auto"/>
        <w:rPr>
          <w:rFonts w:ascii="Arial" w:hAnsi="Arial"/>
        </w:rPr>
      </w:pPr>
      <w:r w:rsidRPr="00EC3875">
        <w:rPr>
          <w:rFonts w:ascii="Arial" w:hAnsi="Arial"/>
        </w:rPr>
        <w:t>James K. Wright, M.D.</w:t>
      </w:r>
    </w:p>
    <w:p w14:paraId="04FB95D6" w14:textId="77777777" w:rsidR="00B17EF4" w:rsidRDefault="00B17EF4" w:rsidP="00834472">
      <w:pPr>
        <w:pStyle w:val="FreeForm"/>
        <w:rPr>
          <w:rFonts w:ascii="Arial Bold" w:hAnsi="Arial Bold"/>
          <w:sz w:val="22"/>
        </w:rPr>
      </w:pPr>
      <w:r w:rsidRPr="00EC3875">
        <w:br w:type="page"/>
      </w:r>
      <w:r w:rsidRPr="00EC3875">
        <w:rPr>
          <w:rFonts w:ascii="Arial Bold" w:hAnsi="Arial Bold"/>
          <w:sz w:val="22"/>
        </w:rPr>
        <w:lastRenderedPageBreak/>
        <w:t>Cover Sheet</w:t>
      </w:r>
    </w:p>
    <w:p w14:paraId="206A9CBB" w14:textId="77777777" w:rsidR="00834472" w:rsidRPr="00EC3875" w:rsidRDefault="00834472" w:rsidP="00834472">
      <w:pPr>
        <w:pStyle w:val="FreeForm"/>
        <w:rPr>
          <w:rFonts w:ascii="Arial Bold" w:hAnsi="Arial Bold"/>
          <w:sz w:val="22"/>
        </w:rPr>
      </w:pPr>
    </w:p>
    <w:p w14:paraId="51106F22" w14:textId="77777777" w:rsidR="00834472" w:rsidRDefault="00B17EF4" w:rsidP="00834472">
      <w:pPr>
        <w:widowControl w:val="0"/>
        <w:spacing w:after="0" w:line="240" w:lineRule="auto"/>
        <w:rPr>
          <w:rFonts w:ascii="Arial Bold" w:hAnsi="Arial Bold"/>
          <w:sz w:val="22"/>
        </w:rPr>
      </w:pPr>
      <w:r w:rsidRPr="00EC3875">
        <w:rPr>
          <w:rFonts w:ascii="Arial Bold" w:hAnsi="Arial Bold"/>
          <w:sz w:val="22"/>
        </w:rPr>
        <w:t xml:space="preserve">Title:  </w:t>
      </w:r>
    </w:p>
    <w:p w14:paraId="6FA07AC4" w14:textId="1CE32508" w:rsidR="00B17EF4" w:rsidRPr="00834472" w:rsidRDefault="00B17EF4" w:rsidP="00834472">
      <w:pPr>
        <w:widowControl w:val="0"/>
        <w:spacing w:after="0" w:line="240" w:lineRule="auto"/>
        <w:rPr>
          <w:rFonts w:ascii="Arial Bold" w:hAnsi="Arial Bold"/>
          <w:sz w:val="22"/>
        </w:rPr>
      </w:pPr>
      <w:r w:rsidRPr="00EC3875">
        <w:rPr>
          <w:rFonts w:ascii="Arial" w:hAnsi="Arial"/>
          <w:sz w:val="22"/>
        </w:rPr>
        <w:t xml:space="preserve">The National Brain Injury Rescue and Rehabilitation Study – </w:t>
      </w:r>
      <w:r w:rsidRPr="00EC3875">
        <w:rPr>
          <w:rFonts w:ascii="Arial" w:hAnsi="Arial" w:cs="Arial"/>
        </w:rPr>
        <w:t>a multicenter study of hyperbaric oxygen for mild traumatic brain injury with post-concussive symptoms</w:t>
      </w:r>
    </w:p>
    <w:p w14:paraId="140CDE7D" w14:textId="77777777" w:rsidR="00834472" w:rsidRDefault="00834472" w:rsidP="00834472">
      <w:pPr>
        <w:widowControl w:val="0"/>
        <w:spacing w:after="0" w:line="240" w:lineRule="auto"/>
        <w:rPr>
          <w:rFonts w:ascii="Arial Bold" w:hAnsi="Arial Bold"/>
          <w:sz w:val="22"/>
        </w:rPr>
      </w:pPr>
    </w:p>
    <w:p w14:paraId="679BA0BD" w14:textId="350B7824" w:rsidR="00B17EF4" w:rsidRPr="00EC3875" w:rsidRDefault="00B17EF4" w:rsidP="00834472">
      <w:pPr>
        <w:widowControl w:val="0"/>
        <w:spacing w:after="0" w:line="240" w:lineRule="auto"/>
        <w:rPr>
          <w:rFonts w:ascii="Arial Bold" w:hAnsi="Arial Bold"/>
          <w:sz w:val="22"/>
        </w:rPr>
      </w:pPr>
      <w:r w:rsidRPr="00EC3875">
        <w:rPr>
          <w:rFonts w:ascii="Arial Bold" w:hAnsi="Arial Bold"/>
          <w:sz w:val="22"/>
        </w:rPr>
        <w:t xml:space="preserve">Authors: </w:t>
      </w:r>
    </w:p>
    <w:p w14:paraId="587253FE" w14:textId="77777777" w:rsidR="00B17EF4" w:rsidRPr="00EC3875" w:rsidRDefault="00B17EF4" w:rsidP="00834472">
      <w:pPr>
        <w:widowControl w:val="0"/>
        <w:spacing w:after="0" w:line="240" w:lineRule="auto"/>
        <w:rPr>
          <w:rFonts w:ascii="Arial" w:hAnsi="Arial"/>
          <w:sz w:val="22"/>
        </w:rPr>
      </w:pPr>
      <w:r w:rsidRPr="00EC3875">
        <w:rPr>
          <w:rFonts w:ascii="Arial" w:hAnsi="Arial"/>
          <w:sz w:val="22"/>
        </w:rPr>
        <w:t>James K. Wright, M.D., International Hyperbaric Medical Foundation</w:t>
      </w:r>
    </w:p>
    <w:p w14:paraId="350D0F3E" w14:textId="77777777" w:rsidR="00B17EF4" w:rsidRPr="00EC3875" w:rsidRDefault="00B17EF4" w:rsidP="00834472">
      <w:pPr>
        <w:widowControl w:val="0"/>
        <w:spacing w:after="0" w:line="240" w:lineRule="auto"/>
        <w:rPr>
          <w:rFonts w:ascii="Arial" w:hAnsi="Arial"/>
          <w:sz w:val="22"/>
        </w:rPr>
      </w:pPr>
      <w:r w:rsidRPr="00EC3875">
        <w:rPr>
          <w:rFonts w:ascii="Arial" w:hAnsi="Arial"/>
          <w:sz w:val="22"/>
        </w:rPr>
        <w:t xml:space="preserve">Xavier Figueroa, Ph.D., </w:t>
      </w:r>
      <w:proofErr w:type="spellStart"/>
      <w:r w:rsidRPr="00EC3875">
        <w:rPr>
          <w:rFonts w:ascii="Arial" w:hAnsi="Arial"/>
          <w:sz w:val="22"/>
        </w:rPr>
        <w:t>Restorix</w:t>
      </w:r>
      <w:proofErr w:type="spellEnd"/>
      <w:r w:rsidRPr="00EC3875">
        <w:rPr>
          <w:rFonts w:ascii="Arial" w:hAnsi="Arial"/>
          <w:sz w:val="22"/>
        </w:rPr>
        <w:t xml:space="preserve"> Research Institute </w:t>
      </w:r>
    </w:p>
    <w:p w14:paraId="510E7A70" w14:textId="77777777" w:rsidR="00B17EF4" w:rsidRPr="00EC3875" w:rsidRDefault="00B17EF4" w:rsidP="00834472">
      <w:pPr>
        <w:widowControl w:val="0"/>
        <w:spacing w:after="0" w:line="240" w:lineRule="auto"/>
        <w:rPr>
          <w:rFonts w:ascii="Arial" w:hAnsi="Arial"/>
          <w:sz w:val="22"/>
        </w:rPr>
      </w:pPr>
      <w:r w:rsidRPr="00EC3875">
        <w:rPr>
          <w:rFonts w:ascii="Arial" w:hAnsi="Arial"/>
          <w:sz w:val="22"/>
        </w:rPr>
        <w:t>Paul G. Harch, M.D., Louisiana State University School of Medicine</w:t>
      </w:r>
    </w:p>
    <w:p w14:paraId="337C0E61" w14:textId="77777777" w:rsidR="00B17EF4" w:rsidRPr="00EC3875" w:rsidRDefault="00B17EF4" w:rsidP="00834472">
      <w:pPr>
        <w:widowControl w:val="0"/>
        <w:spacing w:after="0" w:line="240" w:lineRule="auto"/>
        <w:rPr>
          <w:rFonts w:ascii="Arial" w:hAnsi="Arial"/>
          <w:sz w:val="22"/>
        </w:rPr>
      </w:pPr>
      <w:r w:rsidRPr="00EC3875">
        <w:rPr>
          <w:rFonts w:ascii="Arial" w:hAnsi="Arial"/>
          <w:sz w:val="22"/>
        </w:rPr>
        <w:t xml:space="preserve">B. Robert </w:t>
      </w:r>
      <w:proofErr w:type="spellStart"/>
      <w:r w:rsidRPr="00EC3875">
        <w:rPr>
          <w:rFonts w:ascii="Arial" w:hAnsi="Arial"/>
          <w:sz w:val="22"/>
        </w:rPr>
        <w:t>Mozayeni</w:t>
      </w:r>
      <w:proofErr w:type="spellEnd"/>
      <w:r w:rsidRPr="00EC3875">
        <w:rPr>
          <w:rFonts w:ascii="Arial" w:hAnsi="Arial"/>
          <w:sz w:val="22"/>
        </w:rPr>
        <w:t>, M.D, International Hyperbaric Medical Foundation, and Translational Medicine Group, P.C.</w:t>
      </w:r>
    </w:p>
    <w:p w14:paraId="39406419" w14:textId="77777777" w:rsidR="00B17EF4" w:rsidRPr="00EC3875" w:rsidRDefault="00B17EF4" w:rsidP="00834472">
      <w:pPr>
        <w:widowControl w:val="0"/>
        <w:spacing w:after="0" w:line="240" w:lineRule="auto"/>
        <w:rPr>
          <w:rFonts w:ascii="Arial" w:hAnsi="Arial"/>
          <w:sz w:val="22"/>
        </w:rPr>
      </w:pPr>
      <w:r w:rsidRPr="00EC3875">
        <w:rPr>
          <w:rFonts w:ascii="Arial" w:hAnsi="Arial"/>
          <w:sz w:val="22"/>
        </w:rPr>
        <w:t>John C. Pezzullo, Ph.D., Georgetown University Medical Center</w:t>
      </w:r>
    </w:p>
    <w:p w14:paraId="764CEA25" w14:textId="77777777" w:rsidR="00B17EF4" w:rsidRPr="00EC3875" w:rsidRDefault="00B17EF4" w:rsidP="00834472">
      <w:pPr>
        <w:widowControl w:val="0"/>
        <w:spacing w:after="0" w:line="240" w:lineRule="auto"/>
        <w:rPr>
          <w:rFonts w:ascii="Arial" w:hAnsi="Arial"/>
          <w:sz w:val="22"/>
        </w:rPr>
      </w:pPr>
      <w:r w:rsidRPr="00EC3875">
        <w:rPr>
          <w:rFonts w:ascii="Arial" w:hAnsi="Arial"/>
          <w:sz w:val="22"/>
        </w:rPr>
        <w:t>Eddie Zant, M.D., Hyperbaric Medicine Inc. of Florida</w:t>
      </w:r>
    </w:p>
    <w:p w14:paraId="7FBF9030" w14:textId="77777777" w:rsidR="00B17EF4" w:rsidRPr="00EC3875" w:rsidRDefault="00B17EF4" w:rsidP="00834472">
      <w:pPr>
        <w:widowControl w:val="0"/>
        <w:spacing w:after="0" w:line="240" w:lineRule="auto"/>
        <w:rPr>
          <w:rFonts w:ascii="Arial" w:hAnsi="Arial"/>
          <w:sz w:val="22"/>
        </w:rPr>
      </w:pPr>
      <w:r w:rsidRPr="00EC3875">
        <w:rPr>
          <w:rFonts w:ascii="Arial" w:hAnsi="Arial"/>
          <w:sz w:val="22"/>
        </w:rPr>
        <w:t xml:space="preserve">Karen Lawson, M.D., </w:t>
      </w:r>
      <w:proofErr w:type="spellStart"/>
      <w:r w:rsidRPr="00EC3875">
        <w:rPr>
          <w:rFonts w:ascii="Arial" w:hAnsi="Arial" w:cs="Arial"/>
          <w:sz w:val="22"/>
          <w:szCs w:val="22"/>
        </w:rPr>
        <w:t>LifeForce</w:t>
      </w:r>
      <w:proofErr w:type="spellEnd"/>
      <w:r w:rsidRPr="00EC3875">
        <w:rPr>
          <w:rFonts w:ascii="Arial" w:hAnsi="Arial" w:cs="Arial"/>
          <w:sz w:val="22"/>
          <w:szCs w:val="22"/>
        </w:rPr>
        <w:t xml:space="preserve"> Therapies, Plymouth, MN</w:t>
      </w:r>
    </w:p>
    <w:p w14:paraId="730B804A" w14:textId="77777777" w:rsidR="00B17EF4" w:rsidRPr="00EC3875" w:rsidRDefault="00B17EF4" w:rsidP="00834472">
      <w:pPr>
        <w:widowControl w:val="0"/>
        <w:spacing w:after="0" w:line="240" w:lineRule="auto"/>
        <w:rPr>
          <w:rFonts w:ascii="Arial" w:hAnsi="Arial"/>
          <w:sz w:val="22"/>
        </w:rPr>
      </w:pPr>
      <w:r w:rsidRPr="00EC3875">
        <w:rPr>
          <w:rFonts w:ascii="Arial" w:hAnsi="Arial"/>
          <w:sz w:val="22"/>
        </w:rPr>
        <w:t>Robert L. Beckman, Ph.D., Center for Translational Medicine</w:t>
      </w:r>
    </w:p>
    <w:p w14:paraId="1B4584A8" w14:textId="77777777" w:rsidR="00B17EF4" w:rsidRPr="00EC3875" w:rsidRDefault="00B17EF4" w:rsidP="00834472">
      <w:pPr>
        <w:widowControl w:val="0"/>
        <w:spacing w:after="0" w:line="240" w:lineRule="auto"/>
        <w:rPr>
          <w:rFonts w:ascii="Arial" w:hAnsi="Arial"/>
          <w:sz w:val="22"/>
        </w:rPr>
      </w:pPr>
      <w:r w:rsidRPr="00EC3875">
        <w:rPr>
          <w:rFonts w:ascii="Arial" w:hAnsi="Arial"/>
          <w:sz w:val="22"/>
        </w:rPr>
        <w:t>Steven D. Reimers M.S., P.E., International Hyperbaric Medical Foundation</w:t>
      </w:r>
    </w:p>
    <w:p w14:paraId="54FED88D" w14:textId="77777777" w:rsidR="00B17EF4" w:rsidRPr="00EC3875" w:rsidRDefault="00B17EF4" w:rsidP="00834472">
      <w:pPr>
        <w:widowControl w:val="0"/>
        <w:spacing w:after="0" w:line="240" w:lineRule="auto"/>
        <w:rPr>
          <w:rFonts w:ascii="Arial" w:hAnsi="Arial"/>
          <w:sz w:val="22"/>
        </w:rPr>
      </w:pPr>
      <w:r w:rsidRPr="00EC3875">
        <w:rPr>
          <w:rFonts w:ascii="Arial" w:hAnsi="Arial"/>
          <w:sz w:val="22"/>
        </w:rPr>
        <w:t xml:space="preserve">Tommy L. Love, D.O., </w:t>
      </w:r>
      <w:proofErr w:type="spellStart"/>
      <w:r w:rsidRPr="00EC3875">
        <w:rPr>
          <w:rFonts w:ascii="Arial" w:hAnsi="Arial"/>
          <w:sz w:val="22"/>
        </w:rPr>
        <w:t>Restorix</w:t>
      </w:r>
      <w:proofErr w:type="spellEnd"/>
      <w:r w:rsidRPr="00EC3875">
        <w:rPr>
          <w:rFonts w:ascii="Arial" w:hAnsi="Arial"/>
          <w:sz w:val="22"/>
        </w:rPr>
        <w:t xml:space="preserve"> Research Institute</w:t>
      </w:r>
    </w:p>
    <w:p w14:paraId="4FC689EA" w14:textId="77777777" w:rsidR="00B17EF4" w:rsidRPr="00EC3875" w:rsidRDefault="00B17EF4" w:rsidP="00834472">
      <w:pPr>
        <w:widowControl w:val="0"/>
        <w:spacing w:after="0" w:line="240" w:lineRule="auto"/>
        <w:rPr>
          <w:rFonts w:ascii="Arial" w:hAnsi="Arial" w:cs="Arial"/>
          <w:sz w:val="22"/>
          <w:szCs w:val="22"/>
        </w:rPr>
      </w:pPr>
      <w:r w:rsidRPr="00EC3875">
        <w:rPr>
          <w:rFonts w:ascii="Arial" w:hAnsi="Arial" w:cs="Arial"/>
          <w:sz w:val="22"/>
          <w:szCs w:val="22"/>
        </w:rPr>
        <w:t>Kenneth P. Stoller, M.D., FACHM, The Amen Clinics, and AT Still University</w:t>
      </w:r>
    </w:p>
    <w:p w14:paraId="0EA5B70B" w14:textId="77777777" w:rsidR="00B17EF4" w:rsidRPr="00EC3875" w:rsidRDefault="00B17EF4" w:rsidP="00834472">
      <w:pPr>
        <w:widowControl w:val="0"/>
        <w:spacing w:after="0" w:line="240" w:lineRule="auto"/>
        <w:rPr>
          <w:rFonts w:ascii="Arial" w:hAnsi="Arial"/>
          <w:sz w:val="22"/>
        </w:rPr>
      </w:pPr>
      <w:r w:rsidRPr="00EC3875">
        <w:rPr>
          <w:rFonts w:ascii="Arial Bold" w:hAnsi="Arial Bold"/>
          <w:sz w:val="22"/>
        </w:rPr>
        <w:t xml:space="preserve">Short Tile: </w:t>
      </w:r>
      <w:r w:rsidRPr="00EC3875">
        <w:rPr>
          <w:rFonts w:ascii="Arial" w:hAnsi="Arial"/>
          <w:sz w:val="22"/>
        </w:rPr>
        <w:t>NBIRR Study Report</w:t>
      </w:r>
    </w:p>
    <w:p w14:paraId="066BDD18" w14:textId="77777777" w:rsidR="00B17EF4" w:rsidRPr="00EC3875" w:rsidRDefault="00B17EF4" w:rsidP="00834472">
      <w:pPr>
        <w:widowControl w:val="0"/>
        <w:spacing w:after="0" w:line="240" w:lineRule="auto"/>
        <w:rPr>
          <w:rFonts w:ascii="Arial Bold" w:hAnsi="Arial Bold"/>
          <w:sz w:val="22"/>
        </w:rPr>
      </w:pPr>
    </w:p>
    <w:p w14:paraId="730D88C1" w14:textId="77777777" w:rsidR="00B17EF4" w:rsidRPr="00EC3875" w:rsidRDefault="00B17EF4" w:rsidP="00834472">
      <w:pPr>
        <w:widowControl w:val="0"/>
        <w:spacing w:after="0" w:line="240" w:lineRule="auto"/>
        <w:rPr>
          <w:rFonts w:ascii="Arial Bold" w:hAnsi="Arial Bold"/>
          <w:sz w:val="22"/>
        </w:rPr>
      </w:pPr>
      <w:r w:rsidRPr="00EC3875">
        <w:rPr>
          <w:rFonts w:ascii="Arial Bold" w:hAnsi="Arial Bold"/>
          <w:sz w:val="22"/>
        </w:rPr>
        <w:t>Corresponding Author:</w:t>
      </w:r>
    </w:p>
    <w:p w14:paraId="6944464D" w14:textId="77777777" w:rsidR="00B17EF4" w:rsidRPr="00EC3875" w:rsidRDefault="00B17EF4" w:rsidP="00834472">
      <w:pPr>
        <w:widowControl w:val="0"/>
        <w:spacing w:after="0" w:line="240" w:lineRule="auto"/>
        <w:rPr>
          <w:rFonts w:ascii="Arial" w:hAnsi="Arial"/>
          <w:sz w:val="22"/>
        </w:rPr>
      </w:pPr>
      <w:r w:rsidRPr="00EC3875">
        <w:rPr>
          <w:rFonts w:ascii="Arial" w:hAnsi="Arial"/>
          <w:sz w:val="22"/>
        </w:rPr>
        <w:t>James K. Wright, M.D.</w:t>
      </w:r>
    </w:p>
    <w:p w14:paraId="7B49F147" w14:textId="77777777" w:rsidR="00B17EF4" w:rsidRPr="00EC3875" w:rsidRDefault="00B17EF4" w:rsidP="00834472">
      <w:pPr>
        <w:widowControl w:val="0"/>
        <w:spacing w:after="0" w:line="240" w:lineRule="auto"/>
        <w:rPr>
          <w:rFonts w:ascii="Arial" w:hAnsi="Arial"/>
          <w:sz w:val="22"/>
        </w:rPr>
      </w:pPr>
      <w:r w:rsidRPr="00EC3875">
        <w:rPr>
          <w:rFonts w:ascii="Arial" w:hAnsi="Arial"/>
          <w:sz w:val="22"/>
        </w:rPr>
        <w:t>3400 Hannibal St.</w:t>
      </w:r>
    </w:p>
    <w:p w14:paraId="5EBA33EA" w14:textId="77777777" w:rsidR="00B17EF4" w:rsidRPr="00EC3875" w:rsidRDefault="00B17EF4" w:rsidP="00834472">
      <w:pPr>
        <w:widowControl w:val="0"/>
        <w:spacing w:after="0" w:line="240" w:lineRule="auto"/>
        <w:rPr>
          <w:rFonts w:ascii="Arial" w:hAnsi="Arial"/>
          <w:sz w:val="22"/>
        </w:rPr>
      </w:pPr>
      <w:r w:rsidRPr="00EC3875">
        <w:rPr>
          <w:rFonts w:ascii="Arial" w:hAnsi="Arial"/>
          <w:sz w:val="22"/>
        </w:rPr>
        <w:t>Butte, MT 59701</w:t>
      </w:r>
    </w:p>
    <w:p w14:paraId="2866936B" w14:textId="77777777" w:rsidR="00B17EF4" w:rsidRPr="00EC3875" w:rsidRDefault="00B17EF4" w:rsidP="00834472">
      <w:pPr>
        <w:widowControl w:val="0"/>
        <w:spacing w:after="0" w:line="240" w:lineRule="auto"/>
        <w:rPr>
          <w:rFonts w:ascii="Arial" w:hAnsi="Arial"/>
          <w:sz w:val="22"/>
        </w:rPr>
      </w:pPr>
      <w:r w:rsidRPr="00EC3875">
        <w:rPr>
          <w:rFonts w:ascii="Arial" w:hAnsi="Arial"/>
          <w:sz w:val="22"/>
        </w:rPr>
        <w:t>406-565-5909, FAX: 406-565-5909</w:t>
      </w:r>
    </w:p>
    <w:p w14:paraId="02322992" w14:textId="77777777" w:rsidR="00B17EF4" w:rsidRPr="00EC3875" w:rsidRDefault="00B17EF4" w:rsidP="00834472">
      <w:pPr>
        <w:widowControl w:val="0"/>
        <w:spacing w:after="0" w:line="240" w:lineRule="auto"/>
        <w:rPr>
          <w:rFonts w:ascii="Arial Bold" w:hAnsi="Arial Bold"/>
          <w:sz w:val="22"/>
        </w:rPr>
      </w:pPr>
      <w:r w:rsidRPr="00EC3875">
        <w:rPr>
          <w:rFonts w:ascii="Arial" w:hAnsi="Arial"/>
          <w:sz w:val="22"/>
        </w:rPr>
        <w:t>wright4james@bresnan.net</w:t>
      </w:r>
      <w:r w:rsidRPr="00EC3875">
        <w:br w:type="page"/>
      </w:r>
      <w:r w:rsidRPr="00EC3875">
        <w:rPr>
          <w:rFonts w:ascii="Arial Bold" w:hAnsi="Arial Bold"/>
          <w:sz w:val="22"/>
        </w:rPr>
        <w:lastRenderedPageBreak/>
        <w:t>The National Brain Injury Rescue and Rehabilitation Study – a multi-center study of hyperbaric oxygen for post-concussive symptoms from mild traumatic brain injury</w:t>
      </w:r>
    </w:p>
    <w:p w14:paraId="6CDE8C2B" w14:textId="77777777" w:rsidR="00B17EF4" w:rsidRPr="00EC3875" w:rsidRDefault="00B17EF4" w:rsidP="00C2393D">
      <w:pPr>
        <w:widowControl w:val="0"/>
        <w:spacing w:before="100" w:beforeAutospacing="1" w:after="100" w:afterAutospacing="1" w:line="240" w:lineRule="auto"/>
        <w:rPr>
          <w:rFonts w:ascii="Arial Bold" w:hAnsi="Arial Bold"/>
          <w:sz w:val="22"/>
        </w:rPr>
      </w:pPr>
      <w:r w:rsidRPr="00EC3875">
        <w:rPr>
          <w:rFonts w:ascii="Arial Bold" w:hAnsi="Arial Bold"/>
          <w:sz w:val="22"/>
        </w:rPr>
        <w:t>Abstract</w:t>
      </w:r>
    </w:p>
    <w:p w14:paraId="0ED877E3" w14:textId="77777777" w:rsidR="00B17EF4" w:rsidRPr="00EC3875" w:rsidRDefault="00B17EF4" w:rsidP="00C2393D">
      <w:pPr>
        <w:widowControl w:val="0"/>
        <w:spacing w:before="100" w:beforeAutospacing="1" w:after="100" w:afterAutospacing="1" w:line="240" w:lineRule="auto"/>
        <w:rPr>
          <w:rFonts w:ascii="Arial" w:hAnsi="Arial"/>
          <w:color w:val="FB0007"/>
          <w:sz w:val="22"/>
        </w:rPr>
      </w:pPr>
      <w:r w:rsidRPr="00EC3875">
        <w:rPr>
          <w:rFonts w:ascii="Arial" w:hAnsi="Arial"/>
          <w:sz w:val="22"/>
        </w:rPr>
        <w:t>The National Brain Injury Rescue and Rehabilitation Project (NBIRR) was established as a preliminary study to test the safety and practicality of multi-center hyperbaric oxygen (HBO2) administration for the post-concussive symptoms of chronic mild traumatic brain injury (mTBI) as a precursor to a pivotal, multi-center, controlled clinical trial.   This preliminary report presents the results for the first 32 subjects completing the trial.  The subject population was given HBO2 at 1.5 atmospheres absolute (ATA) for one hour per session for 40 to 80 sessions.  Outcome measures included repeated self-assessment measures and automated neurocognitive tests. All subjects demonstrated improvement in most measures after HBO2 and improvement in 21 of 25 neurocognitive test measures was observed. The objective neurocognitive test components showed improvement in 13 of 17 measures.  Earlier administration of HBO2 post injury, younger age at the time of injury and HBO2 administration, military status, and increased number of HBO2 administrations were characteristics associated with improved outcomes.  The safety of the HBO2 protocol at 1.5 ATA (HBO2 1.5) was established and there were no adverse events.</w:t>
      </w:r>
    </w:p>
    <w:p w14:paraId="217BFAA9" w14:textId="77777777" w:rsidR="00B17EF4" w:rsidRPr="00EC3875" w:rsidRDefault="00B17EF4" w:rsidP="00C2393D">
      <w:pPr>
        <w:widowControl w:val="0"/>
        <w:spacing w:before="100" w:beforeAutospacing="1" w:after="100" w:afterAutospacing="1" w:line="240" w:lineRule="auto"/>
        <w:rPr>
          <w:rFonts w:ascii="Arial" w:hAnsi="Arial"/>
          <w:color w:val="FB0007"/>
          <w:sz w:val="22"/>
        </w:rPr>
      </w:pPr>
      <w:r w:rsidRPr="00EC3875">
        <w:rPr>
          <w:rFonts w:ascii="Arial Bold" w:hAnsi="Arial Bold"/>
          <w:sz w:val="22"/>
        </w:rPr>
        <w:t>Key words:</w:t>
      </w:r>
      <w:r w:rsidRPr="00EC3875">
        <w:rPr>
          <w:rFonts w:ascii="Arial" w:hAnsi="Arial"/>
          <w:sz w:val="22"/>
        </w:rPr>
        <w:t xml:space="preserve"> hyperbaric oxygen, traumatic brain injury, post concussive syndrome, post-traumatic stress disorder</w:t>
      </w:r>
    </w:p>
    <w:p w14:paraId="2FBC8732" w14:textId="77777777" w:rsidR="00B17EF4" w:rsidRPr="00EC3875" w:rsidRDefault="00B17EF4" w:rsidP="00C2393D">
      <w:pPr>
        <w:widowControl w:val="0"/>
        <w:spacing w:before="100" w:beforeAutospacing="1" w:after="100" w:afterAutospacing="1" w:line="240" w:lineRule="auto"/>
        <w:rPr>
          <w:rFonts w:ascii="Arial Bold" w:hAnsi="Arial Bold"/>
          <w:sz w:val="22"/>
        </w:rPr>
      </w:pPr>
      <w:r w:rsidRPr="00EC3875">
        <w:rPr>
          <w:rFonts w:ascii="Arial Bold" w:hAnsi="Arial Bold"/>
          <w:sz w:val="22"/>
        </w:rPr>
        <w:t>Introduction</w:t>
      </w:r>
    </w:p>
    <w:p w14:paraId="6E9B4388"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During the past two decades several authors have reported beneficial effects from hyperbaric oxygen (HBO2) in subjects with chronic residual effects of moderate to severe traumatic brain injury</w:t>
      </w:r>
      <w:r w:rsidRPr="00EC3875">
        <w:rPr>
          <w:rStyle w:val="EndnoteReference2"/>
          <w:rFonts w:ascii="Arial" w:hAnsi="Arial"/>
          <w:sz w:val="22"/>
        </w:rPr>
        <w:endnoteReference w:id="152"/>
      </w:r>
      <w:r w:rsidRPr="00EC3875">
        <w:rPr>
          <w:rFonts w:ascii="Arial" w:hAnsi="Arial"/>
          <w:sz w:val="22"/>
          <w:vertAlign w:val="superscript"/>
        </w:rPr>
        <w:t>,</w:t>
      </w:r>
      <w:r w:rsidRPr="00EC3875">
        <w:rPr>
          <w:rStyle w:val="EndnoteReference2"/>
          <w:rFonts w:ascii="Arial" w:hAnsi="Arial"/>
          <w:sz w:val="22"/>
        </w:rPr>
        <w:endnoteReference w:id="153"/>
      </w:r>
      <w:r w:rsidRPr="00EC3875">
        <w:rPr>
          <w:rFonts w:ascii="Arial" w:hAnsi="Arial"/>
          <w:sz w:val="22"/>
          <w:vertAlign w:val="superscript"/>
        </w:rPr>
        <w:t>,</w:t>
      </w:r>
      <w:r w:rsidRPr="00EC3875">
        <w:rPr>
          <w:rStyle w:val="EndnoteReference2"/>
          <w:rFonts w:ascii="Arial" w:hAnsi="Arial"/>
          <w:sz w:val="22"/>
        </w:rPr>
        <w:endnoteReference w:id="154"/>
      </w:r>
      <w:r w:rsidRPr="00EC3875">
        <w:rPr>
          <w:rFonts w:ascii="Arial" w:hAnsi="Arial"/>
          <w:sz w:val="22"/>
          <w:vertAlign w:val="superscript"/>
        </w:rPr>
        <w:t>,</w:t>
      </w:r>
      <w:r w:rsidRPr="00EC3875">
        <w:rPr>
          <w:rStyle w:val="EndnoteReference2"/>
          <w:rFonts w:ascii="Arial" w:hAnsi="Arial"/>
          <w:sz w:val="22"/>
        </w:rPr>
        <w:endnoteReference w:id="155"/>
      </w:r>
      <w:r w:rsidRPr="00EC3875">
        <w:rPr>
          <w:rFonts w:ascii="Arial" w:hAnsi="Arial"/>
          <w:sz w:val="22"/>
          <w:vertAlign w:val="superscript"/>
        </w:rPr>
        <w:t>,</w:t>
      </w:r>
      <w:r w:rsidRPr="00EC3875">
        <w:rPr>
          <w:rStyle w:val="EndnoteReference2"/>
          <w:rFonts w:ascii="Arial" w:hAnsi="Arial"/>
          <w:sz w:val="22"/>
        </w:rPr>
        <w:endnoteReference w:id="156"/>
      </w:r>
      <w:r w:rsidRPr="00EC3875">
        <w:rPr>
          <w:rFonts w:ascii="Arial" w:hAnsi="Arial"/>
          <w:sz w:val="22"/>
        </w:rPr>
        <w:t>.  More recently HBO2 has been applied to patients with the post-concussion syndrome of mild-moderate blast-induced TBI with or without post-traumatic stress disorder (PTSD)</w:t>
      </w:r>
      <w:r w:rsidRPr="00EC3875">
        <w:rPr>
          <w:rStyle w:val="EndnoteReference2"/>
          <w:rFonts w:ascii="Arial" w:hAnsi="Arial"/>
          <w:sz w:val="22"/>
        </w:rPr>
        <w:endnoteReference w:id="157"/>
      </w:r>
      <w:r w:rsidRPr="00EC3875">
        <w:rPr>
          <w:rFonts w:ascii="Arial" w:hAnsi="Arial"/>
          <w:sz w:val="22"/>
          <w:vertAlign w:val="superscript"/>
        </w:rPr>
        <w:t>,</w:t>
      </w:r>
      <w:r w:rsidRPr="00EC3875">
        <w:rPr>
          <w:rStyle w:val="EndnoteReference2"/>
          <w:rFonts w:ascii="Arial" w:hAnsi="Arial"/>
          <w:sz w:val="22"/>
        </w:rPr>
        <w:endnoteReference w:id="158"/>
      </w:r>
      <w:r w:rsidRPr="00EC3875">
        <w:rPr>
          <w:rFonts w:ascii="Arial" w:hAnsi="Arial"/>
          <w:sz w:val="22"/>
          <w:vertAlign w:val="superscript"/>
        </w:rPr>
        <w:t>,</w:t>
      </w:r>
      <w:r w:rsidRPr="00EC3875">
        <w:rPr>
          <w:rStyle w:val="EndnoteReference2"/>
          <w:rFonts w:ascii="Arial" w:hAnsi="Arial"/>
          <w:sz w:val="22"/>
        </w:rPr>
        <w:endnoteReference w:id="159"/>
      </w:r>
      <w:r w:rsidRPr="00EC3875">
        <w:rPr>
          <w:rFonts w:ascii="Arial" w:hAnsi="Arial"/>
          <w:sz w:val="22"/>
          <w:vertAlign w:val="superscript"/>
        </w:rPr>
        <w:t>,</w:t>
      </w:r>
      <w:r w:rsidRPr="00EC3875">
        <w:rPr>
          <w:rStyle w:val="EndnoteReference2"/>
          <w:rFonts w:ascii="Arial" w:hAnsi="Arial"/>
          <w:sz w:val="22"/>
        </w:rPr>
        <w:endnoteReference w:id="160"/>
      </w:r>
      <w:r w:rsidRPr="00EC3875">
        <w:rPr>
          <w:rFonts w:ascii="Arial" w:hAnsi="Arial"/>
          <w:sz w:val="22"/>
        </w:rPr>
        <w:t>.</w:t>
      </w:r>
      <w:r w:rsidRPr="00EC3875">
        <w:rPr>
          <w:rFonts w:ascii="Arial" w:hAnsi="Arial"/>
          <w:sz w:val="22"/>
          <w:vertAlign w:val="superscript"/>
        </w:rPr>
        <w:t xml:space="preserve"> </w:t>
      </w:r>
      <w:r w:rsidRPr="00EC3875">
        <w:rPr>
          <w:rFonts w:ascii="Arial" w:hAnsi="Arial"/>
          <w:sz w:val="22"/>
        </w:rPr>
        <w:t xml:space="preserve">  Based on these reports, the National Brain Injury Rescue and Rehabilitation Project (NBIRR) was undertaken to study the safety and practicality of a multicenter study of hyperbaric oxygen (HBO2) administration at 1.5 atmospheres absolute (ATA) for post-concussive symptoms from mTBI with or without co-existing PTSD and PTSD without TBI (See appendix for list of study locations). The study was designed to enroll 1000 subjects in the expectation that improvement of symptoms could be offered to a large number of subjects, many of whom may have been injured in the current Global War on Terror.   Follow up testing on subjects enrolled is planned for two years after initial enrollment.  </w:t>
      </w:r>
    </w:p>
    <w:p w14:paraId="5D264BBB"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 xml:space="preserve">When the NBIRR trial was </w:t>
      </w:r>
      <w:proofErr w:type="gramStart"/>
      <w:r w:rsidRPr="00EC3875">
        <w:rPr>
          <w:rFonts w:ascii="Arial" w:hAnsi="Arial"/>
          <w:sz w:val="22"/>
        </w:rPr>
        <w:t>initiated</w:t>
      </w:r>
      <w:proofErr w:type="gramEnd"/>
      <w:r w:rsidRPr="00EC3875">
        <w:rPr>
          <w:rFonts w:ascii="Arial" w:hAnsi="Arial"/>
          <w:sz w:val="22"/>
        </w:rPr>
        <w:t xml:space="preserve"> it was thought that the trial could be a means to treat some of the large number of active duty and veterans returning from war with post-concussive symptoms from mTBI if funding became available.  As the study progressed funding was not obtained and it was realized that it would take some time before the 1000 subject goal could be attained.  As researchers sought an FDA sanction for a study using HBO2 in post-concussive symptoms from mTBI in an effort to obtain an FDA indication for HBO2 treatment, and a completely redesigned study with appropriate controls was required.  The preliminary results of the NBIRR study are potentially useful in designing an FDA sanctioned study and they are </w:t>
      </w:r>
      <w:r w:rsidRPr="00EC3875">
        <w:rPr>
          <w:rFonts w:ascii="Arial" w:hAnsi="Arial"/>
          <w:sz w:val="22"/>
        </w:rPr>
        <w:lastRenderedPageBreak/>
        <w:t xml:space="preserve">presented here in an effort to speed the effort for interested researchers.  This summary is a preliminary report on the first 32 subjects with post-concussive symptoms who completed the protocol while the remainder of the 1000 subject trial continues.  At the time of the current data analysis the long term follow up was not yet available and is not part of this report.  This report is offered in the expectation that the information learned could be put to use in a well-designed controlled clinical trial.  </w:t>
      </w:r>
    </w:p>
    <w:p w14:paraId="67510651"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One of the purposes of the study was to evaluate the safety of the HBO2 1.5 protocol for mTBI post-concussive symptoms and PTSD.  While hyperbaric oxygen is generally accepted as safe, potential adverse effects resulting from hyperbaric oxygen administration in brain injured patients include seizures and worsening of psychiatric conditions.  The decades long use of HBO2 1.5 in hundreds of patients with multiple sclerosis in millions of sessions in the United Kingdom has established the safety of HBO2 1.5 for neurologic conditions, but at the time this study was designed the safety of HBO2 in mTBI subjects was being actively questioned</w:t>
      </w:r>
      <w:r w:rsidRPr="00EC3875">
        <w:rPr>
          <w:rStyle w:val="EndnoteReference"/>
          <w:rFonts w:ascii="Arial" w:hAnsi="Arial"/>
          <w:sz w:val="22"/>
        </w:rPr>
        <w:endnoteReference w:id="161"/>
      </w:r>
      <w:r w:rsidRPr="00EC3875">
        <w:rPr>
          <w:rFonts w:ascii="Arial" w:hAnsi="Arial"/>
          <w:sz w:val="22"/>
          <w:vertAlign w:val="superscript"/>
        </w:rPr>
        <w:t>,</w:t>
      </w:r>
      <w:r w:rsidRPr="00EC3875">
        <w:rPr>
          <w:rStyle w:val="EndnoteReference"/>
          <w:rFonts w:ascii="Arial" w:hAnsi="Arial"/>
          <w:sz w:val="22"/>
        </w:rPr>
        <w:endnoteReference w:id="162"/>
      </w:r>
      <w:r w:rsidRPr="00EC3875">
        <w:rPr>
          <w:rFonts w:ascii="Arial" w:hAnsi="Arial"/>
          <w:sz w:val="22"/>
        </w:rPr>
        <w:t xml:space="preserve">.  </w:t>
      </w:r>
    </w:p>
    <w:p w14:paraId="142BF136"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Hyperbaric oxygen has been used to treat a variety of brain injuries for decades.  It was described as a treatment for carbon monoxide poisoning in 1960</w:t>
      </w:r>
      <w:r w:rsidRPr="00EC3875">
        <w:rPr>
          <w:rStyle w:val="EndnoteReference1"/>
          <w:rFonts w:ascii="Arial" w:hAnsi="Arial"/>
          <w:sz w:val="22"/>
        </w:rPr>
        <w:endnoteReference w:id="163"/>
      </w:r>
      <w:r w:rsidRPr="00EC3875">
        <w:rPr>
          <w:rFonts w:ascii="Arial" w:hAnsi="Arial"/>
          <w:sz w:val="22"/>
        </w:rPr>
        <w:t>, and it was soon recognized that hyperbaric oxygen had effects impacting brain healing separate from the action to remove carbon monoxide from hemoglobin molecules</w:t>
      </w:r>
      <w:r w:rsidRPr="00EC3875">
        <w:rPr>
          <w:rStyle w:val="EndnoteReference1"/>
          <w:rFonts w:ascii="Arial" w:hAnsi="Arial"/>
          <w:sz w:val="22"/>
        </w:rPr>
        <w:endnoteReference w:id="164"/>
      </w:r>
      <w:r w:rsidRPr="00EC3875">
        <w:rPr>
          <w:rFonts w:ascii="Arial" w:hAnsi="Arial"/>
          <w:sz w:val="22"/>
        </w:rPr>
        <w:t>. Since the adoption of oxygen treatment tables in 1967 the brain injuries of decompression sickness and arterial gas embolism have been effectively treated by HBO2</w:t>
      </w:r>
      <w:r w:rsidRPr="00EC3875">
        <w:rPr>
          <w:rStyle w:val="EndnoteReference1"/>
          <w:rFonts w:ascii="Arial" w:hAnsi="Arial"/>
          <w:sz w:val="22"/>
        </w:rPr>
        <w:endnoteReference w:id="165"/>
      </w:r>
      <w:r w:rsidRPr="00EC3875">
        <w:rPr>
          <w:rFonts w:ascii="Arial" w:hAnsi="Arial"/>
          <w:sz w:val="22"/>
        </w:rPr>
        <w:t>.  In 1969, clinical improvement from stroke was demonstrated with HBO2 administered three months after the stroke</w:t>
      </w:r>
      <w:r w:rsidRPr="00EC3875">
        <w:rPr>
          <w:rStyle w:val="EndnoteReference1"/>
          <w:rFonts w:ascii="Arial" w:hAnsi="Arial"/>
          <w:sz w:val="22"/>
        </w:rPr>
        <w:endnoteReference w:id="166"/>
      </w:r>
      <w:r w:rsidRPr="00EC3875">
        <w:rPr>
          <w:rFonts w:ascii="Arial" w:hAnsi="Arial"/>
          <w:sz w:val="22"/>
        </w:rPr>
        <w:t>.  Late hypoxic injury to the brain has also been treated successfully with HBO2</w:t>
      </w:r>
      <w:r w:rsidRPr="00EC3875">
        <w:rPr>
          <w:rStyle w:val="EndnoteReference1"/>
          <w:rFonts w:ascii="Arial" w:hAnsi="Arial"/>
          <w:sz w:val="22"/>
        </w:rPr>
        <w:endnoteReference w:id="167"/>
      </w:r>
      <w:r w:rsidRPr="00EC3875">
        <w:rPr>
          <w:rFonts w:ascii="Arial" w:hAnsi="Arial"/>
          <w:sz w:val="22"/>
        </w:rPr>
        <w:t>.  Significant changes in cerebral blood flow with simultaneous symptomatic, physical quality of life, and cognitive improvements have recently been demonstrated after HBO2 in a population of blast-induced mild-moderate TBI military veterans with post concussive syndrome (PCS) and PTSD (</w:t>
      </w:r>
      <w:r w:rsidRPr="00EC3875">
        <w:rPr>
          <w:rFonts w:ascii="Arial" w:hAnsi="Arial" w:cs="Arial"/>
        </w:rPr>
        <w:t>Harch PG, Andrews SR, Fogarty EF, et al. 2012)</w:t>
      </w:r>
      <w:r w:rsidRPr="00EC3875">
        <w:rPr>
          <w:rFonts w:ascii="Arial" w:hAnsi="Arial"/>
          <w:sz w:val="22"/>
        </w:rPr>
        <w:t>.   That experience replicated the findings in a controlled animal model of chronic traumatic brain injury incorporating an earlier version of the 1.5 ATA protocol where persistent changes in brain vasculature as well as spatial learning and memory were observed</w:t>
      </w:r>
      <w:r w:rsidRPr="00EC3875">
        <w:rPr>
          <w:rStyle w:val="EndnoteReference2"/>
          <w:rFonts w:ascii="Arial" w:hAnsi="Arial"/>
          <w:sz w:val="22"/>
        </w:rPr>
        <w:endnoteReference w:id="168"/>
      </w:r>
      <w:r w:rsidRPr="00EC3875">
        <w:rPr>
          <w:rFonts w:ascii="Arial" w:hAnsi="Arial"/>
          <w:sz w:val="22"/>
        </w:rPr>
        <w:t>.  The lack of high quality controlled clinical trials demonstrating the efficacy of HBO2 in brain injury has been a valid criticism</w:t>
      </w:r>
      <w:r w:rsidRPr="00EC3875">
        <w:rPr>
          <w:rStyle w:val="EndnoteReference2"/>
          <w:rFonts w:ascii="Arial" w:hAnsi="Arial"/>
          <w:sz w:val="22"/>
        </w:rPr>
        <w:endnoteReference w:id="169"/>
      </w:r>
      <w:r w:rsidRPr="00EC3875">
        <w:rPr>
          <w:rFonts w:ascii="Arial" w:hAnsi="Arial"/>
          <w:sz w:val="22"/>
        </w:rPr>
        <w:t xml:space="preserve">. </w:t>
      </w:r>
    </w:p>
    <w:p w14:paraId="21665D47" w14:textId="77777777" w:rsidR="00B17EF4" w:rsidRPr="00EC3875" w:rsidRDefault="00B17EF4" w:rsidP="00C2393D">
      <w:pPr>
        <w:widowControl w:val="0"/>
        <w:spacing w:before="100" w:beforeAutospacing="1" w:after="100" w:afterAutospacing="1" w:line="240" w:lineRule="auto"/>
        <w:rPr>
          <w:rFonts w:ascii="Arial Bold" w:hAnsi="Arial Bold"/>
          <w:sz w:val="22"/>
        </w:rPr>
      </w:pPr>
      <w:r w:rsidRPr="00EC3875">
        <w:rPr>
          <w:rFonts w:ascii="Arial Bold" w:hAnsi="Arial Bold"/>
          <w:sz w:val="22"/>
        </w:rPr>
        <w:t>Materials and Methods</w:t>
      </w:r>
    </w:p>
    <w:p w14:paraId="6F152669"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 xml:space="preserve">The National Brain Injury Rescue and Rehabilitation Study (NBIRR) was a multi-center trial conducted under the auspices of the International Hyperbaric Medical Foundation.    HBO2 administration was performed on a voluntary basis by each treating center.  The protocol at each participating center was approved by the Western Institutional Review Board and all subjects provided written informed consent.     No effort was made to exclude subjects based on the etiology of injury.   A control non-hyperbaric group was not included in this initial study; </w:t>
      </w:r>
      <w:proofErr w:type="gramStart"/>
      <w:r w:rsidRPr="00EC3875">
        <w:rPr>
          <w:rFonts w:ascii="Arial" w:hAnsi="Arial"/>
          <w:sz w:val="22"/>
        </w:rPr>
        <w:t>however</w:t>
      </w:r>
      <w:proofErr w:type="gramEnd"/>
      <w:r w:rsidRPr="00EC3875">
        <w:rPr>
          <w:rFonts w:ascii="Arial" w:hAnsi="Arial"/>
          <w:sz w:val="22"/>
        </w:rPr>
        <w:t xml:space="preserve"> all participants in this report had mTBI with post-concussive symptoms and a history of at least three months of clinical non-improvement or deterioration at the time of enrollment.  </w:t>
      </w:r>
    </w:p>
    <w:p w14:paraId="2324DA32" w14:textId="77777777" w:rsidR="00834472" w:rsidRDefault="00B17EF4" w:rsidP="00834472">
      <w:pPr>
        <w:widowControl w:val="0"/>
        <w:spacing w:before="100" w:beforeAutospacing="1" w:after="100" w:afterAutospacing="1" w:line="240" w:lineRule="auto"/>
        <w:rPr>
          <w:rFonts w:ascii="Arial" w:hAnsi="Arial" w:cs="Arial"/>
          <w:sz w:val="22"/>
          <w:szCs w:val="22"/>
        </w:rPr>
      </w:pPr>
      <w:r w:rsidRPr="00EC3875">
        <w:rPr>
          <w:rFonts w:ascii="Arial" w:hAnsi="Arial"/>
          <w:sz w:val="22"/>
        </w:rPr>
        <w:t xml:space="preserve">Male and female subjects 18 to 65 years of age were eligible if they had a diagnosis of mTBI with post-concussive symptoms and/or PTSD.  </w:t>
      </w:r>
      <w:r w:rsidRPr="00EC3875">
        <w:rPr>
          <w:rFonts w:ascii="Arial" w:hAnsi="Arial"/>
          <w:sz w:val="22"/>
          <w:szCs w:val="22"/>
        </w:rPr>
        <w:t xml:space="preserve">Inclusion criteria for subjects in this report were </w:t>
      </w:r>
      <w:r w:rsidRPr="00EC3875">
        <w:rPr>
          <w:rFonts w:ascii="Arial" w:hAnsi="Arial"/>
          <w:sz w:val="22"/>
          <w:szCs w:val="22"/>
        </w:rPr>
        <w:lastRenderedPageBreak/>
        <w:t>a) a</w:t>
      </w:r>
      <w:r w:rsidRPr="00EC3875">
        <w:rPr>
          <w:rFonts w:ascii="Arial" w:hAnsi="Arial" w:cs="Arial"/>
          <w:sz w:val="22"/>
          <w:szCs w:val="22"/>
        </w:rPr>
        <w:t xml:space="preserve">ny </w:t>
      </w:r>
      <w:proofErr w:type="gramStart"/>
      <w:r w:rsidRPr="00EC3875">
        <w:rPr>
          <w:rFonts w:ascii="Arial" w:hAnsi="Arial" w:cs="Arial"/>
          <w:sz w:val="22"/>
          <w:szCs w:val="22"/>
        </w:rPr>
        <w:t>18-65 year-old</w:t>
      </w:r>
      <w:proofErr w:type="gramEnd"/>
      <w:r w:rsidRPr="00EC3875">
        <w:rPr>
          <w:rFonts w:ascii="Arial" w:hAnsi="Arial" w:cs="Arial"/>
          <w:sz w:val="22"/>
          <w:szCs w:val="22"/>
        </w:rPr>
        <w:t xml:space="preserve"> subject with a history of mild TBI with post-concussive symptoms or PTSD, b) a diagnosis of mild TBI with post-concussive symptoms and/or PTSD made by a </w:t>
      </w:r>
      <w:proofErr w:type="gramStart"/>
      <w:r w:rsidRPr="00EC3875">
        <w:rPr>
          <w:rFonts w:ascii="Arial" w:hAnsi="Arial" w:cs="Arial"/>
          <w:sz w:val="22"/>
          <w:szCs w:val="22"/>
        </w:rPr>
        <w:t>neurologist  or</w:t>
      </w:r>
      <w:proofErr w:type="gramEnd"/>
      <w:r w:rsidRPr="00EC3875">
        <w:rPr>
          <w:rFonts w:ascii="Arial" w:hAnsi="Arial" w:cs="Arial"/>
          <w:sz w:val="22"/>
          <w:szCs w:val="22"/>
        </w:rPr>
        <w:t xml:space="preserve"> neuropsychologist, c) negative pregnancy test in females, and d) current symptoms or functional impairment attributable to TBI and/or PTSD.  Exclusion criteria were a) pulmonary disease that precludes HBO2 administration, b) unstable medical conditions that are contraindicated in HBO2 administration, c) severe confinement anxiety, d) pregnancy, d) a neurological diagnoses other than TBI or PCS, e) participation in another experimental trial with active intervention, f) high probability of inability to complete the experimental protocol,  g) insufficient mental or physical capacity to complete the required tests, h) pre- or post-TBI history of systemic illness with impact on central nervous system, </w:t>
      </w:r>
      <w:proofErr w:type="spellStart"/>
      <w:r w:rsidRPr="00EC3875">
        <w:rPr>
          <w:rFonts w:ascii="Arial" w:hAnsi="Arial" w:cs="Arial"/>
          <w:sz w:val="22"/>
          <w:szCs w:val="22"/>
        </w:rPr>
        <w:t>i</w:t>
      </w:r>
      <w:proofErr w:type="spellEnd"/>
      <w:r w:rsidRPr="00EC3875">
        <w:rPr>
          <w:rFonts w:ascii="Arial" w:hAnsi="Arial" w:cs="Arial"/>
          <w:sz w:val="22"/>
          <w:szCs w:val="22"/>
        </w:rPr>
        <w:t>) pre-existing mental illness, and j) any pre-existing chronic infection not related to battlefield injuries or government service.</w:t>
      </w:r>
    </w:p>
    <w:p w14:paraId="1334664A" w14:textId="11C08E6E" w:rsidR="00B17EF4" w:rsidRPr="00EC3875" w:rsidRDefault="00B17EF4" w:rsidP="00834472">
      <w:pPr>
        <w:widowControl w:val="0"/>
        <w:spacing w:before="100" w:beforeAutospacing="1" w:after="100" w:afterAutospacing="1" w:line="240" w:lineRule="auto"/>
        <w:rPr>
          <w:rFonts w:ascii="Arial" w:eastAsia="Times New Roman" w:hAnsi="Arial" w:cs="Arial"/>
          <w:sz w:val="22"/>
          <w:szCs w:val="22"/>
        </w:rPr>
      </w:pPr>
      <w:r w:rsidRPr="00EC3875">
        <w:rPr>
          <w:rFonts w:ascii="Arial" w:hAnsi="Arial" w:cs="Arial"/>
          <w:sz w:val="22"/>
          <w:szCs w:val="22"/>
        </w:rPr>
        <w:t>A new online data entry system (</w:t>
      </w:r>
      <w:proofErr w:type="spellStart"/>
      <w:r w:rsidRPr="00EC3875">
        <w:rPr>
          <w:rFonts w:ascii="Arial" w:hAnsi="Arial" w:cs="Arial"/>
          <w:sz w:val="22"/>
          <w:szCs w:val="22"/>
        </w:rPr>
        <w:t>CareVector</w:t>
      </w:r>
      <w:proofErr w:type="spellEnd"/>
      <w:r w:rsidRPr="00EC3875">
        <w:rPr>
          <w:rFonts w:ascii="Arial" w:hAnsi="Arial" w:cs="Arial"/>
          <w:sz w:val="22"/>
          <w:szCs w:val="22"/>
        </w:rPr>
        <w:t xml:space="preserve">™) was created to be available to a network of clinics participating in clinical research.  </w:t>
      </w:r>
      <w:r w:rsidRPr="00EC3875">
        <w:rPr>
          <w:rFonts w:ascii="Arial" w:eastAsia="Times New Roman" w:hAnsi="Arial" w:cs="Arial"/>
          <w:bCs/>
          <w:sz w:val="22"/>
          <w:szCs w:val="22"/>
        </w:rPr>
        <w:t xml:space="preserve">The </w:t>
      </w:r>
      <w:proofErr w:type="spellStart"/>
      <w:r w:rsidRPr="00EC3875">
        <w:rPr>
          <w:rFonts w:ascii="Arial" w:eastAsia="Times New Roman" w:hAnsi="Arial" w:cs="Arial"/>
          <w:bCs/>
          <w:sz w:val="22"/>
          <w:szCs w:val="22"/>
        </w:rPr>
        <w:t>CareVector</w:t>
      </w:r>
      <w:proofErr w:type="spellEnd"/>
      <w:r w:rsidRPr="00EC3875">
        <w:rPr>
          <w:rFonts w:ascii="Arial" w:eastAsia="Times New Roman" w:hAnsi="Arial" w:cs="Arial"/>
          <w:bCs/>
          <w:sz w:val="22"/>
          <w:szCs w:val="22"/>
        </w:rPr>
        <w:t>™ Platform (CVP™)</w:t>
      </w:r>
      <w:r w:rsidRPr="00EC3875">
        <w:rPr>
          <w:rFonts w:ascii="Arial" w:eastAsia="Times New Roman" w:hAnsi="Arial" w:cs="Arial"/>
          <w:b/>
          <w:bCs/>
          <w:sz w:val="22"/>
          <w:szCs w:val="22"/>
        </w:rPr>
        <w:t> </w:t>
      </w:r>
      <w:r w:rsidRPr="00EC3875">
        <w:rPr>
          <w:rFonts w:ascii="Arial" w:eastAsia="Times New Roman" w:hAnsi="Arial" w:cs="Arial"/>
          <w:sz w:val="22"/>
          <w:szCs w:val="22"/>
        </w:rPr>
        <w:t>is the repository for all data collected on individual patients in NBIRR. It creates a web-enabled electronic medical record from multiple data sources available from HBO2 sessions, tests, laboratory tests and clinician-patient interactions. It has an analytic engine that can support standard and sophisticated analysis and reporting. The CVP</w:t>
      </w:r>
      <w:r w:rsidRPr="00EC3875">
        <w:rPr>
          <w:rFonts w:ascii="Arial" w:eastAsia="Times New Roman" w:hAnsi="Arial" w:cs="Arial"/>
          <w:b/>
          <w:bCs/>
          <w:sz w:val="22"/>
          <w:szCs w:val="22"/>
        </w:rPr>
        <w:t>™</w:t>
      </w:r>
      <w:r w:rsidRPr="00EC3875">
        <w:rPr>
          <w:rFonts w:ascii="Arial" w:eastAsia="Times New Roman" w:hAnsi="Arial" w:cs="Arial"/>
          <w:sz w:val="22"/>
          <w:szCs w:val="22"/>
        </w:rPr>
        <w:t xml:space="preserve"> is a knowledge base that is available, based on mandatory and discretionary accesses, to participants in the practice or research protocol.  CVP</w:t>
      </w:r>
      <w:r w:rsidRPr="00EC3875">
        <w:rPr>
          <w:rFonts w:ascii="Arial" w:eastAsia="Times New Roman" w:hAnsi="Arial" w:cs="Arial"/>
          <w:b/>
          <w:bCs/>
          <w:sz w:val="22"/>
          <w:szCs w:val="22"/>
        </w:rPr>
        <w:t>™</w:t>
      </w:r>
      <w:r w:rsidRPr="00EC3875">
        <w:rPr>
          <w:rFonts w:ascii="Arial" w:eastAsia="Times New Roman" w:hAnsi="Arial" w:cs="Arial"/>
          <w:sz w:val="22"/>
          <w:szCs w:val="22"/>
        </w:rPr>
        <w:t xml:space="preserve"> supports other research and treatment protocols, as well as non-medical applications.  The platform also allows for oversight and has a built-in auditor role that supports analysis and data and safety monitoring functions. Security procedures are a built-in aspect of the CVP, with multi-role and multi-site access-controls. </w:t>
      </w:r>
      <w:r w:rsidRPr="00EC3875">
        <w:rPr>
          <w:rFonts w:ascii="Arial" w:hAnsi="Arial"/>
          <w:sz w:val="22"/>
        </w:rPr>
        <w:t xml:space="preserve">To avoid any conflict or bias of analysis, all collected data were analyzed independently by the biostatistician.  </w:t>
      </w:r>
    </w:p>
    <w:p w14:paraId="5B99CBA6"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The self-assessment measures were a percent back to normal assessment, the PHQ-15 (Patient Health Questionnaire-15), a measure of somatic symptoms associated with mental disorders, the PHQ-9 (Patient Health Questionnaire-9), a measure of depression symptoms</w:t>
      </w:r>
      <w:r w:rsidRPr="00EC3875">
        <w:rPr>
          <w:rStyle w:val="EndnoteReference"/>
          <w:rFonts w:ascii="Arial" w:hAnsi="Arial"/>
          <w:sz w:val="22"/>
        </w:rPr>
        <w:endnoteReference w:id="170"/>
      </w:r>
      <w:r w:rsidRPr="00EC3875">
        <w:rPr>
          <w:rFonts w:ascii="Arial" w:hAnsi="Arial"/>
          <w:sz w:val="22"/>
        </w:rPr>
        <w:t xml:space="preserve">, a </w:t>
      </w:r>
      <w:proofErr w:type="gramStart"/>
      <w:r w:rsidRPr="00EC3875">
        <w:rPr>
          <w:rFonts w:ascii="Arial" w:hAnsi="Arial"/>
          <w:sz w:val="22"/>
        </w:rPr>
        <w:t>quality of life</w:t>
      </w:r>
      <w:proofErr w:type="gramEnd"/>
      <w:r w:rsidRPr="00EC3875">
        <w:rPr>
          <w:rFonts w:ascii="Arial" w:hAnsi="Arial"/>
          <w:sz w:val="22"/>
        </w:rPr>
        <w:t xml:space="preserve"> assessment, and the Rivermead </w:t>
      </w:r>
      <w:r w:rsidRPr="00EC3875">
        <w:rPr>
          <w:rFonts w:ascii="Arial" w:hAnsi="Arial" w:cs="Arial"/>
        </w:rPr>
        <w:t>Post-concussion Symptoms Questionnaire</w:t>
      </w:r>
      <w:r w:rsidRPr="00EC3875">
        <w:rPr>
          <w:rStyle w:val="EndnoteReference"/>
          <w:rFonts w:ascii="Arial" w:hAnsi="Arial" w:cs="Arial"/>
        </w:rPr>
        <w:endnoteReference w:id="171"/>
      </w:r>
      <w:r w:rsidRPr="00EC3875">
        <w:rPr>
          <w:rFonts w:ascii="Arial" w:hAnsi="Arial" w:cs="Arial"/>
        </w:rPr>
        <w:t>.</w:t>
      </w:r>
    </w:p>
    <w:p w14:paraId="7E4CE33D" w14:textId="77777777" w:rsidR="00B17EF4" w:rsidRPr="00EC3875" w:rsidRDefault="00B17EF4" w:rsidP="00C2393D">
      <w:pPr>
        <w:pStyle w:val="Default"/>
        <w:spacing w:before="100" w:beforeAutospacing="1" w:after="100" w:afterAutospacing="1"/>
        <w:rPr>
          <w:rFonts w:ascii="Arial" w:hAnsi="Arial" w:cs="Arial"/>
          <w:sz w:val="22"/>
          <w:szCs w:val="22"/>
        </w:rPr>
      </w:pPr>
      <w:r w:rsidRPr="00EC3875">
        <w:rPr>
          <w:rFonts w:ascii="Arial" w:hAnsi="Arial"/>
          <w:sz w:val="22"/>
        </w:rPr>
        <w:t>Subjects who met the inclusion criteria underwent a battery of pre-HBO2 administration evaluations and testing including medical history, neurological examination, Automated Neuropsychological Assessment Metrics (ANAM4™), Central Nervous System Vital Signs</w:t>
      </w:r>
      <w:r w:rsidRPr="00EC3875">
        <w:rPr>
          <w:rFonts w:ascii="Arial" w:hAnsi="Arial" w:cs="Arial"/>
          <w:sz w:val="22"/>
          <w:vertAlign w:val="superscript"/>
        </w:rPr>
        <w:t>®</w:t>
      </w:r>
      <w:r w:rsidRPr="00EC3875">
        <w:rPr>
          <w:rFonts w:ascii="Arial" w:hAnsi="Arial"/>
          <w:sz w:val="22"/>
        </w:rPr>
        <w:t xml:space="preserve"> (CNS VS), and a variety of self-assessment tests. The neurocognitive test results form the basis of this report.  No imaging studies were included in this protocol.  </w:t>
      </w:r>
      <w:r w:rsidRPr="00EC3875">
        <w:rPr>
          <w:rFonts w:ascii="Arial" w:hAnsi="Arial" w:cs="Arial"/>
          <w:sz w:val="22"/>
          <w:szCs w:val="22"/>
        </w:rPr>
        <w:t>A flow diagram of subject participation and inclusion in this report is shown in Figure 1.</w:t>
      </w:r>
    </w:p>
    <w:p w14:paraId="045988A5" w14:textId="77777777" w:rsidR="00B17EF4" w:rsidRPr="00EC3875" w:rsidRDefault="00B17EF4" w:rsidP="00C2393D">
      <w:pPr>
        <w:pStyle w:val="Default"/>
        <w:spacing w:before="100" w:beforeAutospacing="1" w:after="100" w:afterAutospacing="1"/>
        <w:rPr>
          <w:rFonts w:ascii="Arial" w:hAnsi="Arial" w:cs="Arial"/>
          <w:color w:val="FF0000"/>
          <w:sz w:val="22"/>
          <w:szCs w:val="22"/>
        </w:rPr>
      </w:pPr>
      <w:r w:rsidRPr="00EC3875">
        <w:rPr>
          <w:rFonts w:ascii="Arial" w:hAnsi="Arial"/>
          <w:sz w:val="22"/>
        </w:rPr>
        <w:t>ANAM4™ is a library of more than thirty computer-based test modules designed for a wide variety of clinical and research applications and is the direct outgrowth of more than twenty years of computer-based test development across all service branches within the Department of Defense</w:t>
      </w:r>
      <w:r w:rsidRPr="00EC3875">
        <w:rPr>
          <w:rStyle w:val="EndnoteReference1"/>
          <w:rFonts w:ascii="Arial" w:eastAsiaTheme="majorEastAsia" w:hAnsi="Arial"/>
          <w:sz w:val="22"/>
        </w:rPr>
        <w:endnoteReference w:id="172"/>
      </w:r>
      <w:r w:rsidRPr="00EC3875">
        <w:rPr>
          <w:rFonts w:ascii="Arial" w:hAnsi="Arial"/>
          <w:sz w:val="22"/>
        </w:rPr>
        <w:t>.  It is a neurocognitive assessment tool that can be used to identify changes in a service member’s cognitive function and mood state as a result of some debilitating event.  The ANAM4™ test battery used in this study has been tailored to provide an instrument that is sensitive to cognitive changes that often accompany mTBI</w:t>
      </w:r>
      <w:r w:rsidRPr="00EC3875">
        <w:rPr>
          <w:rStyle w:val="EndnoteReference1"/>
          <w:rFonts w:ascii="Arial" w:eastAsiaTheme="majorEastAsia" w:hAnsi="Arial"/>
          <w:sz w:val="22"/>
        </w:rPr>
        <w:t xml:space="preserve"> </w:t>
      </w:r>
      <w:r w:rsidRPr="00EC3875">
        <w:rPr>
          <w:rStyle w:val="EndnoteReference1"/>
          <w:rFonts w:ascii="Arial" w:eastAsiaTheme="majorEastAsia" w:hAnsi="Arial"/>
          <w:sz w:val="22"/>
        </w:rPr>
        <w:endnoteReference w:id="173"/>
      </w:r>
      <w:r w:rsidRPr="00EC3875">
        <w:rPr>
          <w:rFonts w:ascii="Arial" w:hAnsi="Arial"/>
          <w:sz w:val="22"/>
          <w:vertAlign w:val="superscript"/>
        </w:rPr>
        <w:t>,</w:t>
      </w:r>
      <w:r w:rsidRPr="00EC3875">
        <w:rPr>
          <w:rStyle w:val="EndnoteReference1"/>
          <w:rFonts w:ascii="Arial" w:eastAsiaTheme="majorEastAsia" w:hAnsi="Arial"/>
          <w:sz w:val="22"/>
        </w:rPr>
        <w:endnoteReference w:id="174"/>
      </w:r>
      <w:r w:rsidRPr="00EC3875">
        <w:rPr>
          <w:rFonts w:ascii="Arial" w:hAnsi="Arial"/>
          <w:sz w:val="22"/>
        </w:rPr>
        <w:t xml:space="preserve">.  The ANAM4™ tests included </w:t>
      </w:r>
      <w:r w:rsidRPr="00EC3875">
        <w:rPr>
          <w:rFonts w:ascii="Arial" w:hAnsi="Arial"/>
          <w:sz w:val="22"/>
        </w:rPr>
        <w:lastRenderedPageBreak/>
        <w:t xml:space="preserve">the mood scores of sleepiness, vigor, restlessness, depression, anger, happiness, fatigue, and anxiety.  The ANAM4™ neurocognitive measures were simple reaction time, code substitution – learning, procedural reaction time, mathematical processing, matching to sample, code substitution – delayed and simple reaction time </w:t>
      </w:r>
      <w:r w:rsidRPr="00EC3875">
        <w:rPr>
          <w:rFonts w:ascii="Arial" w:hAnsi="Arial" w:cs="Arial"/>
          <w:bCs/>
          <w:color w:val="auto"/>
          <w:sz w:val="22"/>
          <w:szCs w:val="22"/>
        </w:rPr>
        <w:t xml:space="preserve">(R), a measure of </w:t>
      </w:r>
      <w:r w:rsidRPr="00EC3875">
        <w:rPr>
          <w:rFonts w:ascii="Arial" w:hAnsi="Arial" w:cs="Arial"/>
          <w:sz w:val="22"/>
          <w:szCs w:val="22"/>
        </w:rPr>
        <w:t>basic neural processing speed and efficiency.   In order to minimize the effect of test-retest improvement the ANAM4™ test system automatically detects when an individual has been previously assessed and will iterate to a new stimulus set</w:t>
      </w:r>
      <w:r w:rsidRPr="00EC3875">
        <w:rPr>
          <w:rStyle w:val="EndnoteReference"/>
          <w:rFonts w:ascii="Arial" w:hAnsi="Arial" w:cs="Arial"/>
          <w:sz w:val="22"/>
          <w:szCs w:val="22"/>
        </w:rPr>
        <w:endnoteReference w:id="175"/>
      </w:r>
      <w:r w:rsidRPr="00EC3875">
        <w:rPr>
          <w:rFonts w:ascii="Arial" w:hAnsi="Arial" w:cs="Arial"/>
          <w:sz w:val="22"/>
          <w:szCs w:val="22"/>
        </w:rPr>
        <w:t xml:space="preserve">.   </w:t>
      </w:r>
    </w:p>
    <w:p w14:paraId="6E8E3EB2" w14:textId="77777777" w:rsidR="00B17EF4" w:rsidRPr="00EC3875" w:rsidRDefault="00B17EF4" w:rsidP="00C2393D">
      <w:pPr>
        <w:spacing w:before="100" w:beforeAutospacing="1" w:after="100" w:afterAutospacing="1" w:line="240" w:lineRule="auto"/>
        <w:rPr>
          <w:rFonts w:ascii="Arial" w:hAnsi="Arial"/>
          <w:sz w:val="22"/>
        </w:rPr>
      </w:pPr>
      <w:r w:rsidRPr="00EC3875">
        <w:rPr>
          <w:rFonts w:ascii="Arial" w:hAnsi="Arial"/>
          <w:sz w:val="22"/>
        </w:rPr>
        <w:t>CNS VS is a battery that evaluates verbal and visual memory, psychomotor speed, complex attention, reaction time, and cognitive flexibility through application of the verbal and visual memory test, finger tapping test, symbol digit coding, the Stroop test, the shifting attention test, and the continuous performance test</w:t>
      </w:r>
      <w:r w:rsidRPr="00EC3875">
        <w:rPr>
          <w:rStyle w:val="EndnoteReference1"/>
          <w:rFonts w:ascii="Arial" w:hAnsi="Arial"/>
          <w:sz w:val="22"/>
        </w:rPr>
        <w:endnoteReference w:id="176"/>
      </w:r>
      <w:r w:rsidRPr="00EC3875">
        <w:rPr>
          <w:rFonts w:ascii="Arial" w:hAnsi="Arial"/>
          <w:sz w:val="22"/>
        </w:rPr>
        <w:t>.  CNS VS was added as a secondary, objective neuropsychological assessment tool.  CNS VS has been validated as a repetitive assessment measure for brain injury</w:t>
      </w:r>
      <w:r w:rsidRPr="00EC3875">
        <w:rPr>
          <w:rStyle w:val="EndnoteReference"/>
          <w:rFonts w:ascii="Arial" w:hAnsi="Arial"/>
          <w:sz w:val="22"/>
        </w:rPr>
        <w:endnoteReference w:id="177"/>
      </w:r>
      <w:r w:rsidRPr="00EC3875">
        <w:rPr>
          <w:rFonts w:ascii="Arial" w:hAnsi="Arial"/>
          <w:sz w:val="22"/>
        </w:rPr>
        <w:t>.</w:t>
      </w:r>
    </w:p>
    <w:p w14:paraId="66AAF6C8" w14:textId="77777777" w:rsidR="00B17EF4" w:rsidRPr="00EC3875" w:rsidRDefault="00B17EF4" w:rsidP="00C2393D">
      <w:pPr>
        <w:pStyle w:val="EndnoteText"/>
        <w:spacing w:before="100" w:beforeAutospacing="1" w:after="100" w:afterAutospacing="1"/>
        <w:rPr>
          <w:rFonts w:ascii="Arial" w:hAnsi="Arial" w:cs="Arial"/>
          <w:sz w:val="22"/>
          <w:szCs w:val="22"/>
        </w:rPr>
      </w:pPr>
      <w:r w:rsidRPr="00EC3875">
        <w:rPr>
          <w:rFonts w:ascii="Arial" w:hAnsi="Arial" w:cs="Arial"/>
          <w:sz w:val="22"/>
          <w:szCs w:val="22"/>
        </w:rPr>
        <w:t>Hyperbaric oxygen (HBO2) was delivered according to the 1.5 ATA protocol developed by Harch, Gottlieb, and Van Meter in the early 1990s based on the 1.5 ATA dose used by Neubauer in chronic brain injury</w:t>
      </w:r>
      <w:r w:rsidRPr="00EC3875">
        <w:rPr>
          <w:rStyle w:val="EndnoteReference2"/>
          <w:rFonts w:ascii="Arial" w:hAnsi="Arial" w:cs="Arial"/>
          <w:sz w:val="22"/>
          <w:szCs w:val="22"/>
        </w:rPr>
        <w:endnoteReference w:id="178"/>
      </w:r>
      <w:r w:rsidRPr="00EC3875">
        <w:rPr>
          <w:rFonts w:ascii="Arial" w:hAnsi="Arial" w:cs="Arial"/>
          <w:sz w:val="22"/>
          <w:szCs w:val="22"/>
        </w:rPr>
        <w:t>.  All subjects received 100% oxygen at 1.5 atmospheres absolute (ATA) in monoplace or multiplace chambers</w:t>
      </w:r>
      <w:r w:rsidRPr="00EC3875">
        <w:rPr>
          <w:rFonts w:ascii="Arial" w:hAnsi="Arial" w:cs="Arial"/>
          <w:color w:val="auto"/>
          <w:sz w:val="22"/>
          <w:szCs w:val="22"/>
        </w:rPr>
        <w:t>.</w:t>
      </w:r>
      <w:r w:rsidRPr="00EC3875">
        <w:rPr>
          <w:rFonts w:ascii="Arial" w:hAnsi="Arial" w:cs="Arial"/>
          <w:color w:val="auto"/>
          <w:sz w:val="22"/>
          <w:szCs w:val="22"/>
          <w:vertAlign w:val="superscript"/>
        </w:rPr>
        <w:t xml:space="preserve">  </w:t>
      </w:r>
      <w:r w:rsidRPr="00EC3875">
        <w:rPr>
          <w:rFonts w:ascii="Arial" w:hAnsi="Arial" w:cs="Arial"/>
          <w:color w:val="auto"/>
          <w:sz w:val="22"/>
          <w:szCs w:val="22"/>
        </w:rPr>
        <w:t xml:space="preserve"> </w:t>
      </w:r>
      <w:r w:rsidRPr="00EC3875">
        <w:rPr>
          <w:rFonts w:ascii="Arial" w:hAnsi="Arial" w:cs="Arial"/>
          <w:sz w:val="22"/>
          <w:szCs w:val="22"/>
        </w:rPr>
        <w:t xml:space="preserve">Monoplace chambers were Sechrist 2500, Sechrist 3200, or Perry Sigma 40 monoplace chambers and 100% oxygen was delivered in the chamber ambient environment. </w:t>
      </w:r>
      <w:r w:rsidRPr="00EC3875">
        <w:rPr>
          <w:rStyle w:val="EndnoteReference"/>
          <w:rFonts w:ascii="Arial" w:hAnsi="Arial" w:cs="Arial"/>
          <w:sz w:val="22"/>
          <w:szCs w:val="22"/>
        </w:rPr>
        <w:footnoteRef/>
      </w:r>
      <w:r w:rsidRPr="00EC3875">
        <w:rPr>
          <w:rFonts w:ascii="Arial" w:hAnsi="Arial" w:cs="Arial"/>
          <w:sz w:val="22"/>
          <w:szCs w:val="22"/>
        </w:rPr>
        <w:t xml:space="preserve"> The multiplace chamber was a </w:t>
      </w:r>
      <w:proofErr w:type="gramStart"/>
      <w:r w:rsidRPr="00EC3875">
        <w:rPr>
          <w:rFonts w:ascii="Arial" w:hAnsi="Arial" w:cs="Arial"/>
          <w:sz w:val="22"/>
          <w:szCs w:val="22"/>
        </w:rPr>
        <w:t>12 person</w:t>
      </w:r>
      <w:proofErr w:type="gramEnd"/>
      <w:r w:rsidRPr="00EC3875">
        <w:rPr>
          <w:rFonts w:ascii="Arial" w:hAnsi="Arial" w:cs="Arial"/>
          <w:sz w:val="22"/>
          <w:szCs w:val="22"/>
        </w:rPr>
        <w:t xml:space="preserve"> Gulf Coast Hyperbarics chamber with oxygen delivered via hood or aviation non-rebreather mask.</w:t>
      </w:r>
    </w:p>
    <w:p w14:paraId="37F48D49" w14:textId="77777777" w:rsidR="00B17EF4" w:rsidRPr="00EC3875" w:rsidRDefault="00B17EF4" w:rsidP="00C2393D">
      <w:pPr>
        <w:spacing w:before="100" w:beforeAutospacing="1" w:after="100" w:afterAutospacing="1" w:line="240" w:lineRule="auto"/>
        <w:rPr>
          <w:rFonts w:ascii="Arial" w:hAnsi="Arial"/>
          <w:sz w:val="22"/>
        </w:rPr>
      </w:pPr>
      <w:r w:rsidRPr="00EC3875">
        <w:rPr>
          <w:rFonts w:ascii="Arial" w:hAnsi="Arial" w:cs="Arial"/>
          <w:sz w:val="22"/>
          <w:szCs w:val="22"/>
        </w:rPr>
        <w:t>Pressurization time was 3-7 minutes and decompression time was 3-7 minutes.  The time at 1.5 ATA was 45 minutes for monoplace</w:t>
      </w:r>
      <w:r w:rsidRPr="00EC3875">
        <w:rPr>
          <w:rFonts w:ascii="Arial" w:hAnsi="Arial"/>
          <w:sz w:val="22"/>
        </w:rPr>
        <w:t xml:space="preserve"> chambers and 50 minutes for the multiplace chamber.  This difference was planned in order to give some equivalence to the amount of oxygen delivered in the two types of chambers since descent and ascent were conducted with 100% oxygen in the monoplace chambers and air in the multiplace chamber.  After initial testing, the subjects were to receive 40 HBO2 and were tested again.  If, in the opinion of the subject and the site principal investigator, maximum benefit was received evidenced by the initial improvement and then stabilization of symptoms without continued improvement, HBO2 administration was stopped at 40 HBO2 sessions.  All subjects receiving 40 HBO2 sessions reported they had benefitted from the HBO2 administration.  If possible further benefit was anticipated, another 20 or 40 HBO2 sessions were administered and testing performed again when the HBO2 sessions were complete.</w:t>
      </w:r>
    </w:p>
    <w:p w14:paraId="3BDCF86B"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Statistical analysis was performed using R (Version2.15.1, http://www.R-project.org). and post HBO2 administration changes in ANAM Mood Scores, ANAM Cognitive Scores and CNV VS Cognitive Scores were compared using Paired t-test or Wilcoxon signed-rank</w:t>
      </w:r>
      <w:r w:rsidRPr="00EC3875">
        <w:rPr>
          <w:rFonts w:ascii="Arial" w:hAnsi="Arial"/>
          <w:strike/>
          <w:sz w:val="22"/>
        </w:rPr>
        <w:t xml:space="preserve"> </w:t>
      </w:r>
      <w:r w:rsidRPr="00EC3875">
        <w:rPr>
          <w:rFonts w:ascii="Arial" w:hAnsi="Arial"/>
          <w:sz w:val="22"/>
        </w:rPr>
        <w:t>test for not</w:t>
      </w:r>
      <w:r w:rsidRPr="00EC3875">
        <w:rPr>
          <w:rFonts w:ascii="Arial" w:hAnsi="Arial"/>
          <w:strike/>
          <w:sz w:val="22"/>
        </w:rPr>
        <w:t>-</w:t>
      </w:r>
      <w:r w:rsidRPr="00EC3875">
        <w:rPr>
          <w:rFonts w:ascii="Arial" w:hAnsi="Arial"/>
          <w:sz w:val="22"/>
        </w:rPr>
        <w:t xml:space="preserve">normally distributed scores. Mean and standard deviation of the differences between the scores and its corresponding 95% Confidence Interval and </w:t>
      </w:r>
      <w:r w:rsidRPr="00EC3875">
        <w:rPr>
          <w:rFonts w:ascii="Arial" w:hAnsi="Arial"/>
          <w:i/>
          <w:sz w:val="22"/>
        </w:rPr>
        <w:t>p</w:t>
      </w:r>
      <w:r w:rsidRPr="00EC3875">
        <w:rPr>
          <w:rFonts w:ascii="Arial" w:hAnsi="Arial"/>
          <w:sz w:val="22"/>
        </w:rPr>
        <w:t xml:space="preserve">-value were reported. Differences in the neurocognitive scores between the groups were compared by </w:t>
      </w:r>
      <w:proofErr w:type="gramStart"/>
      <w:r w:rsidRPr="00EC3875">
        <w:rPr>
          <w:rFonts w:ascii="Arial" w:hAnsi="Arial"/>
          <w:sz w:val="22"/>
        </w:rPr>
        <w:t>Independent</w:t>
      </w:r>
      <w:proofErr w:type="gramEnd"/>
      <w:r w:rsidRPr="00EC3875">
        <w:rPr>
          <w:rFonts w:ascii="Arial" w:hAnsi="Arial"/>
          <w:sz w:val="22"/>
        </w:rPr>
        <w:t xml:space="preserve"> t test or Mann-Whitney U test for not normally distributed data.  Average improvement in each subject’s neurocognitive test scores </w:t>
      </w:r>
      <w:proofErr w:type="gramStart"/>
      <w:r w:rsidRPr="00EC3875">
        <w:rPr>
          <w:rFonts w:ascii="Arial" w:hAnsi="Arial"/>
          <w:sz w:val="22"/>
        </w:rPr>
        <w:t>were</w:t>
      </w:r>
      <w:proofErr w:type="gramEnd"/>
      <w:r w:rsidRPr="00EC3875">
        <w:rPr>
          <w:rFonts w:ascii="Arial" w:hAnsi="Arial"/>
          <w:sz w:val="22"/>
        </w:rPr>
        <w:t xml:space="preserve"> compared to number of HBO2 sessions received by Correlation and Regression analysis. Slopes, correlation coefficients, (</w:t>
      </w:r>
      <w:r w:rsidRPr="00EC3875">
        <w:rPr>
          <w:rFonts w:ascii="Arial" w:hAnsi="Arial"/>
          <w:i/>
          <w:sz w:val="22"/>
        </w:rPr>
        <w:t>r and r</w:t>
      </w:r>
      <w:r w:rsidRPr="00EC3875">
        <w:rPr>
          <w:rFonts w:ascii="Arial" w:hAnsi="Arial"/>
          <w:i/>
          <w:sz w:val="22"/>
          <w:vertAlign w:val="superscript"/>
        </w:rPr>
        <w:t>2</w:t>
      </w:r>
      <w:r w:rsidRPr="00EC3875">
        <w:rPr>
          <w:rFonts w:ascii="Arial" w:hAnsi="Arial"/>
          <w:i/>
          <w:sz w:val="22"/>
        </w:rPr>
        <w:t>)</w:t>
      </w:r>
      <w:r w:rsidRPr="00EC3875">
        <w:rPr>
          <w:rFonts w:ascii="Arial" w:hAnsi="Arial"/>
          <w:sz w:val="22"/>
        </w:rPr>
        <w:t xml:space="preserve">, and </w:t>
      </w:r>
      <w:r w:rsidRPr="00EC3875">
        <w:rPr>
          <w:rFonts w:ascii="Arial" w:hAnsi="Arial"/>
          <w:i/>
          <w:sz w:val="22"/>
        </w:rPr>
        <w:t>p</w:t>
      </w:r>
      <w:r w:rsidRPr="00EC3875">
        <w:rPr>
          <w:rFonts w:ascii="Arial" w:hAnsi="Arial"/>
          <w:sz w:val="22"/>
        </w:rPr>
        <w:t xml:space="preserve">-values were reported.  </w:t>
      </w:r>
      <w:r w:rsidRPr="00EC3875">
        <w:rPr>
          <w:rFonts w:ascii="Arial" w:hAnsi="Arial"/>
          <w:sz w:val="22"/>
        </w:rPr>
        <w:lastRenderedPageBreak/>
        <w:t>Significance level was set at 0.05, and no adjustment for multiple endpoints was applied.</w:t>
      </w:r>
    </w:p>
    <w:p w14:paraId="6B52B812" w14:textId="77777777" w:rsidR="00B17EF4" w:rsidRPr="00EC3875" w:rsidRDefault="00B17EF4" w:rsidP="00C2393D">
      <w:pPr>
        <w:widowControl w:val="0"/>
        <w:spacing w:before="100" w:beforeAutospacing="1" w:after="100" w:afterAutospacing="1" w:line="240" w:lineRule="auto"/>
        <w:rPr>
          <w:rFonts w:ascii="Arial" w:hAnsi="Arial"/>
          <w:b/>
          <w:sz w:val="22"/>
        </w:rPr>
      </w:pPr>
      <w:r w:rsidRPr="00EC3875">
        <w:rPr>
          <w:rFonts w:ascii="Arial" w:hAnsi="Arial"/>
          <w:b/>
          <w:sz w:val="22"/>
        </w:rPr>
        <w:t>Results</w:t>
      </w:r>
    </w:p>
    <w:p w14:paraId="5F6C6ECB"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 xml:space="preserve">A total of 49 subjects with mTBI with post-concussive symptoms with or without PTSD were enrolled in the NBIRR study at 5 centers.  </w:t>
      </w:r>
      <w:proofErr w:type="gramStart"/>
      <w:r w:rsidRPr="00EC3875">
        <w:rPr>
          <w:rFonts w:ascii="Arial" w:hAnsi="Arial"/>
          <w:sz w:val="22"/>
        </w:rPr>
        <w:t>Twenty nine</w:t>
      </w:r>
      <w:proofErr w:type="gramEnd"/>
      <w:r w:rsidRPr="00EC3875">
        <w:rPr>
          <w:rFonts w:ascii="Arial" w:hAnsi="Arial"/>
          <w:sz w:val="22"/>
        </w:rPr>
        <w:t xml:space="preserve"> subjects were males and three were females.  Of the 32 subjects in this report, seven subjects (22%) were </w:t>
      </w:r>
      <w:proofErr w:type="gramStart"/>
      <w:r w:rsidRPr="00EC3875">
        <w:rPr>
          <w:rFonts w:ascii="Arial" w:hAnsi="Arial"/>
          <w:sz w:val="22"/>
        </w:rPr>
        <w:t>active duty</w:t>
      </w:r>
      <w:proofErr w:type="gramEnd"/>
      <w:r w:rsidRPr="00EC3875">
        <w:rPr>
          <w:rFonts w:ascii="Arial" w:hAnsi="Arial"/>
          <w:sz w:val="22"/>
        </w:rPr>
        <w:t xml:space="preserve"> military at the time of participation, 12 (37%) were veterans and 13 (41%) had no military service.  Fifteen (47%) received their injury because of a blast and 17 (53%) were injured because of a blow (Table 1).  </w:t>
      </w:r>
    </w:p>
    <w:p w14:paraId="71AB3893"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The delay from injury to protocol enrollment for the subject population was distributed from 0.37 to 46 years after injury.  Two subjects could not remember their injury well enough to establish a clear date of injury (Figure 2).  There were 25 potential outcome measures per subject at each time of measurement (pre-HBO2 and HBO2) calculated for this report.  For each participant the measures were compared pre and post HBO2 administration (Table 2).  The results of the ANAM4™ mood scores are expressed as subjective scales (0-100) and the objective neurocognitive screening measures are expressed as percentile placement compared to the peer populations (Figures 3 and 4).</w:t>
      </w:r>
    </w:p>
    <w:p w14:paraId="197F9A34" w14:textId="77777777" w:rsidR="00834472" w:rsidRDefault="00B17EF4" w:rsidP="00C2393D">
      <w:pPr>
        <w:widowControl w:val="0"/>
        <w:spacing w:before="100" w:beforeAutospacing="1" w:after="100" w:afterAutospacing="1" w:line="240" w:lineRule="auto"/>
        <w:rPr>
          <w:rFonts w:ascii="Arial" w:hAnsi="Arial" w:cs="Arial"/>
          <w:sz w:val="22"/>
          <w:szCs w:val="22"/>
        </w:rPr>
      </w:pPr>
      <w:r w:rsidRPr="00EC3875">
        <w:rPr>
          <w:rFonts w:ascii="Arial" w:hAnsi="Arial"/>
          <w:sz w:val="22"/>
        </w:rPr>
        <w:t xml:space="preserve">The changes in subjects on active duty, veterans, or civilian status (no history of military service) were compared to each other as groups (active duty, veteran, civilian).  In </w:t>
      </w:r>
      <w:proofErr w:type="gramStart"/>
      <w:r w:rsidRPr="00EC3875">
        <w:rPr>
          <w:rFonts w:ascii="Arial" w:hAnsi="Arial"/>
          <w:sz w:val="22"/>
        </w:rPr>
        <w:t>general</w:t>
      </w:r>
      <w:proofErr w:type="gramEnd"/>
      <w:r w:rsidRPr="00EC3875">
        <w:rPr>
          <w:rFonts w:ascii="Arial" w:hAnsi="Arial"/>
          <w:sz w:val="22"/>
        </w:rPr>
        <w:t xml:space="preserve"> the </w:t>
      </w:r>
      <w:proofErr w:type="gramStart"/>
      <w:r w:rsidRPr="00EC3875">
        <w:rPr>
          <w:rFonts w:ascii="Arial" w:hAnsi="Arial"/>
          <w:sz w:val="22"/>
        </w:rPr>
        <w:t>active duty</w:t>
      </w:r>
      <w:proofErr w:type="gramEnd"/>
      <w:r w:rsidRPr="00EC3875">
        <w:rPr>
          <w:rFonts w:ascii="Arial" w:hAnsi="Arial"/>
          <w:sz w:val="22"/>
        </w:rPr>
        <w:t xml:space="preserve"> group showed more improvement than the veteran and civilian groups and the civilian group showed the least improvement (Table 3).  In comparing subjects with blast injury (N=15) to those receiving injury from a blow (N=17) 4 measures showed post HBO2 administration differences between the two groups with the individuals with blast injury demonstrating more improvement.  The measures showing significance were ANAM4</w:t>
      </w:r>
      <w:r w:rsidRPr="00EC3875">
        <w:rPr>
          <w:rFonts w:ascii="Arial" w:hAnsi="Arial"/>
          <w:sz w:val="22"/>
          <w:szCs w:val="22"/>
        </w:rPr>
        <w:t xml:space="preserve">™ </w:t>
      </w:r>
      <w:r w:rsidRPr="00EC3875">
        <w:rPr>
          <w:rFonts w:ascii="Arial" w:hAnsi="Arial" w:cs="Arial"/>
          <w:sz w:val="22"/>
          <w:szCs w:val="22"/>
        </w:rPr>
        <w:t xml:space="preserve">Fatigue (Mean = -23.8 (percentile change), ± 25.1 (standard deviation), CI (confidence interval): -32.9 – -14.7, p=0.034), ANAM4™ Code Substitution Learning (21.2 ± 27.2, CI: 11.2 – 31.2, p=0.006), ANAM4™ Procedural reaction Time (30 ± 38, CI: 16 – 44, p&lt;0.001), and ANAM4™ Simple reaction Time (R) (8 ± 36, CI: -6 – 22, p=0.025).  </w:t>
      </w:r>
    </w:p>
    <w:p w14:paraId="54B3EAE4" w14:textId="78A628FE"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cs="Arial"/>
          <w:sz w:val="22"/>
          <w:szCs w:val="22"/>
        </w:rPr>
        <w:t>Age</w:t>
      </w:r>
      <w:r w:rsidRPr="00EC3875">
        <w:rPr>
          <w:rFonts w:ascii="Arial" w:hAnsi="Arial" w:cs="Arial"/>
          <w:sz w:val="22"/>
        </w:rPr>
        <w:t xml:space="preserve"> at the time of injury</w:t>
      </w:r>
      <w:r w:rsidRPr="00EC3875">
        <w:rPr>
          <w:rFonts w:ascii="Arial" w:hAnsi="Arial"/>
          <w:sz w:val="22"/>
        </w:rPr>
        <w:t xml:space="preserve"> impacted improvement in CN SVS Processing Speed (slope = 0.642, p=0.043, r = 0.445, r</w:t>
      </w:r>
      <w:r w:rsidRPr="00EC3875">
        <w:rPr>
          <w:rFonts w:ascii="Arial" w:hAnsi="Arial"/>
          <w:sz w:val="22"/>
          <w:vertAlign w:val="superscript"/>
        </w:rPr>
        <w:t>2</w:t>
      </w:r>
      <w:r w:rsidRPr="00EC3875">
        <w:rPr>
          <w:rFonts w:ascii="Arial" w:hAnsi="Arial"/>
          <w:sz w:val="22"/>
        </w:rPr>
        <w:t xml:space="preserve"> = 0.198), with earlier age at the time of injury resulting in greater test improvement after HBO2 administration.  Age at the start of HBO2 administration affected improvement in ANAM4™ Code Substitution – Learning (slope = -0.815, p=0.017, r= -0.427. r</w:t>
      </w:r>
      <w:r w:rsidRPr="00EC3875">
        <w:rPr>
          <w:rFonts w:ascii="Arial" w:hAnsi="Arial"/>
          <w:sz w:val="22"/>
          <w:vertAlign w:val="superscript"/>
        </w:rPr>
        <w:t>2</w:t>
      </w:r>
      <w:r w:rsidRPr="00EC3875">
        <w:rPr>
          <w:rFonts w:ascii="Arial" w:hAnsi="Arial"/>
          <w:sz w:val="22"/>
        </w:rPr>
        <w:t xml:space="preserve"> =0.182), and ANAM4™ Procedural Reaction Time (slope = -1.567, p=0.001, r= -0.584, r</w:t>
      </w:r>
      <w:r w:rsidRPr="00EC3875">
        <w:rPr>
          <w:rFonts w:ascii="Arial" w:hAnsi="Arial"/>
          <w:sz w:val="22"/>
          <w:vertAlign w:val="superscript"/>
        </w:rPr>
        <w:t>2</w:t>
      </w:r>
      <w:r w:rsidRPr="00EC3875">
        <w:rPr>
          <w:rFonts w:ascii="Arial" w:hAnsi="Arial"/>
          <w:sz w:val="22"/>
        </w:rPr>
        <w:t xml:space="preserve">= 0.341) with earlier age at the start of HBO2 administration resulting in greater test improvement after HBO2 (Figure 5). </w:t>
      </w:r>
    </w:p>
    <w:p w14:paraId="61D1B48A"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A delay in initiation of HBO2 from the time of injury affected four neurocognitive percentile scores - ANAM4™ Code Substitution – Learning (slope = -0.0201, p=0.008, r= -0.486, r2= 0.286),   ANAM4™ Procedural Reaction Time (slope = -0.02984, p=0.004, r= -0.518, r</w:t>
      </w:r>
      <w:r w:rsidRPr="00EC3875">
        <w:rPr>
          <w:rFonts w:ascii="Arial" w:hAnsi="Arial"/>
          <w:sz w:val="22"/>
          <w:vertAlign w:val="superscript"/>
        </w:rPr>
        <w:t>2</w:t>
      </w:r>
      <w:r w:rsidRPr="00EC3875">
        <w:rPr>
          <w:rFonts w:ascii="Arial" w:hAnsi="Arial"/>
          <w:sz w:val="22"/>
        </w:rPr>
        <w:t>= 0.269), ANAM4™ Mathematical Processing (slope = -0.01487, p=0.037, r= -0.389, r</w:t>
      </w:r>
      <w:r w:rsidRPr="00EC3875">
        <w:rPr>
          <w:rFonts w:ascii="Arial" w:hAnsi="Arial"/>
          <w:sz w:val="22"/>
          <w:vertAlign w:val="superscript"/>
        </w:rPr>
        <w:t>2</w:t>
      </w:r>
      <w:r w:rsidRPr="00EC3875">
        <w:rPr>
          <w:rFonts w:ascii="Arial" w:hAnsi="Arial"/>
          <w:sz w:val="22"/>
        </w:rPr>
        <w:t>= 0.152), ANAM4™ Simple Reaction Time R (slope = -0.02398, p=0.022, r= -0.455, r</w:t>
      </w:r>
      <w:r w:rsidRPr="00EC3875">
        <w:rPr>
          <w:rFonts w:ascii="Arial" w:hAnsi="Arial"/>
          <w:sz w:val="22"/>
          <w:vertAlign w:val="superscript"/>
        </w:rPr>
        <w:t>2</w:t>
      </w:r>
      <w:r w:rsidRPr="00EC3875">
        <w:rPr>
          <w:rFonts w:ascii="Arial" w:hAnsi="Arial"/>
          <w:sz w:val="22"/>
        </w:rPr>
        <w:t xml:space="preserve">= 0.207), and CNS </w:t>
      </w:r>
      <w:r w:rsidRPr="00EC3875">
        <w:rPr>
          <w:rFonts w:ascii="Arial" w:hAnsi="Arial"/>
          <w:sz w:val="22"/>
        </w:rPr>
        <w:lastRenderedPageBreak/>
        <w:t>VS Processing Speed (slope = -0.01271, p=0.019, r= -0.506, r</w:t>
      </w:r>
      <w:r w:rsidRPr="00EC3875">
        <w:rPr>
          <w:rFonts w:ascii="Arial" w:hAnsi="Arial"/>
          <w:sz w:val="22"/>
          <w:vertAlign w:val="superscript"/>
        </w:rPr>
        <w:t>2</w:t>
      </w:r>
      <w:r w:rsidRPr="00EC3875">
        <w:rPr>
          <w:rFonts w:ascii="Arial" w:hAnsi="Arial"/>
          <w:sz w:val="22"/>
        </w:rPr>
        <w:t>= 0.256).  A delay in HBO2 administration from the time of injury resulted in reduced improvement in test scores (Figure 5).</w:t>
      </w:r>
    </w:p>
    <w:p w14:paraId="5FA63694"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The trend toward improved neurocognitive test scores relative to number of HBO2 sessions received is reflected in Figure 6.  The average neurocognitive scores improved approximately ½% with each HBO2 received (slope=0.554, p=0.038, r=0.368, r</w:t>
      </w:r>
      <w:r w:rsidRPr="00EC3875">
        <w:rPr>
          <w:rFonts w:ascii="Arial" w:hAnsi="Arial"/>
          <w:sz w:val="22"/>
          <w:vertAlign w:val="superscript"/>
        </w:rPr>
        <w:t>2</w:t>
      </w:r>
      <w:r w:rsidRPr="00EC3875">
        <w:rPr>
          <w:rFonts w:ascii="Arial" w:hAnsi="Arial"/>
          <w:sz w:val="22"/>
        </w:rPr>
        <w:t>=0.136).   The number of HBO2 received was associated with improvement in the percentile performance scores in 4 neurocognitive measures: ANAM4™ Mathematical Processing (slope = 0.782, p=0.001, r= 0.562, r</w:t>
      </w:r>
      <w:r w:rsidRPr="00EC3875">
        <w:rPr>
          <w:rFonts w:ascii="Arial" w:hAnsi="Arial"/>
          <w:sz w:val="22"/>
          <w:vertAlign w:val="superscript"/>
        </w:rPr>
        <w:t>2</w:t>
      </w:r>
      <w:r w:rsidRPr="00EC3875">
        <w:rPr>
          <w:rFonts w:ascii="Arial" w:hAnsi="Arial"/>
          <w:sz w:val="22"/>
        </w:rPr>
        <w:t>= 0.316), CNS VS Psychomotor Speed (slope = 0.509, p=0.044, r= 0.424, r</w:t>
      </w:r>
      <w:r w:rsidRPr="00EC3875">
        <w:rPr>
          <w:rFonts w:ascii="Arial" w:hAnsi="Arial"/>
          <w:sz w:val="22"/>
          <w:vertAlign w:val="superscript"/>
        </w:rPr>
        <w:t>2</w:t>
      </w:r>
      <w:r w:rsidRPr="00EC3875">
        <w:rPr>
          <w:rFonts w:ascii="Arial" w:hAnsi="Arial"/>
          <w:sz w:val="22"/>
        </w:rPr>
        <w:t>= 0.18), CNS VS Reaction Time (slope = 0.447, p=0.048, r= 0.417, r</w:t>
      </w:r>
      <w:r w:rsidRPr="00EC3875">
        <w:rPr>
          <w:rFonts w:ascii="Arial" w:hAnsi="Arial"/>
          <w:sz w:val="22"/>
          <w:vertAlign w:val="superscript"/>
        </w:rPr>
        <w:t>2</w:t>
      </w:r>
      <w:r w:rsidRPr="00EC3875">
        <w:rPr>
          <w:rFonts w:ascii="Arial" w:hAnsi="Arial"/>
          <w:sz w:val="22"/>
        </w:rPr>
        <w:t>= 0.174), and CNS VS Executive Function (slope = 0.612, p=0.03, r= 0.453, r</w:t>
      </w:r>
      <w:r w:rsidRPr="00EC3875">
        <w:rPr>
          <w:rFonts w:ascii="Arial" w:hAnsi="Arial"/>
          <w:sz w:val="22"/>
          <w:vertAlign w:val="superscript"/>
        </w:rPr>
        <w:t>2</w:t>
      </w:r>
      <w:r w:rsidRPr="00EC3875">
        <w:rPr>
          <w:rFonts w:ascii="Arial" w:hAnsi="Arial"/>
          <w:sz w:val="22"/>
        </w:rPr>
        <w:t>= 0.206).</w:t>
      </w:r>
      <w:r w:rsidRPr="00EC3875">
        <w:rPr>
          <w:rFonts w:ascii="Arial" w:hAnsi="Arial"/>
          <w:color w:val="0000FE"/>
          <w:sz w:val="22"/>
        </w:rPr>
        <w:t xml:space="preserve">  </w:t>
      </w:r>
      <w:r w:rsidRPr="00EC3875">
        <w:rPr>
          <w:rFonts w:ascii="Arial" w:hAnsi="Arial"/>
          <w:sz w:val="22"/>
        </w:rPr>
        <w:t xml:space="preserve">In each case a larger number of HBO2 received resulted in improved scores.  </w:t>
      </w:r>
    </w:p>
    <w:p w14:paraId="46FD722C"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Seven subjects (22%) had a diagnosis of PTSD in addition to mTBI with post-concussive symptoms.  The subjects with a diagnosis of PTSD had more improvement in the ANAM4™ Fatigue mood scale (</w:t>
      </w:r>
      <w:r w:rsidRPr="00EC3875">
        <w:rPr>
          <w:rFonts w:ascii="Arial" w:hAnsi="Arial" w:cs="Arial"/>
          <w:sz w:val="22"/>
          <w:szCs w:val="22"/>
        </w:rPr>
        <w:t>mean change= -23.8 ± 25.1, CI: -32.9 – -14.7, p=0</w:t>
      </w:r>
      <w:r w:rsidRPr="00EC3875">
        <w:rPr>
          <w:rFonts w:ascii="Arial" w:hAnsi="Arial"/>
          <w:sz w:val="22"/>
        </w:rPr>
        <w:t>.012), and the ANAM4™ Matching to Sample neurocognitive test (</w:t>
      </w:r>
      <w:r w:rsidRPr="00EC3875">
        <w:rPr>
          <w:rFonts w:ascii="Arial" w:hAnsi="Arial" w:cs="Arial"/>
          <w:sz w:val="22"/>
          <w:szCs w:val="22"/>
        </w:rPr>
        <w:t>mean change= 13 ± 31, CI: 2 – 25, p=0.028)</w:t>
      </w:r>
      <w:r w:rsidRPr="00EC3875">
        <w:rPr>
          <w:rFonts w:ascii="Arial" w:hAnsi="Arial"/>
          <w:sz w:val="22"/>
        </w:rPr>
        <w:t>.  A diagnosis of PTSD did not adversely affect any of the outcome measures.  No adverse effects or complications were reported in any of the subjects enrolled in the NBIRR study and the administration of HBO2 at 1.5 ATA in this population of brain injury subjects was safe.</w:t>
      </w:r>
    </w:p>
    <w:p w14:paraId="3EA642BE" w14:textId="77777777" w:rsidR="00B17EF4" w:rsidRPr="00EC3875" w:rsidRDefault="00B17EF4" w:rsidP="00C2393D">
      <w:pPr>
        <w:widowControl w:val="0"/>
        <w:spacing w:before="100" w:beforeAutospacing="1" w:after="100" w:afterAutospacing="1" w:line="240" w:lineRule="auto"/>
        <w:rPr>
          <w:rFonts w:ascii="Arial Bold" w:hAnsi="Arial Bold"/>
          <w:sz w:val="22"/>
        </w:rPr>
      </w:pPr>
      <w:r w:rsidRPr="00EC3875">
        <w:rPr>
          <w:rFonts w:ascii="Arial Bold" w:hAnsi="Arial Bold"/>
          <w:sz w:val="22"/>
        </w:rPr>
        <w:t>Discussion</w:t>
      </w:r>
    </w:p>
    <w:p w14:paraId="0B5B5662" w14:textId="77777777" w:rsidR="00B17EF4" w:rsidRPr="00EC3875" w:rsidRDefault="00B17EF4" w:rsidP="00C2393D">
      <w:pPr>
        <w:widowControl w:val="0"/>
        <w:spacing w:before="100" w:beforeAutospacing="1" w:after="100" w:afterAutospacing="1" w:line="240" w:lineRule="auto"/>
        <w:rPr>
          <w:rFonts w:ascii="Arial Bold" w:hAnsi="Arial Bold"/>
          <w:sz w:val="22"/>
        </w:rPr>
      </w:pPr>
      <w:r w:rsidRPr="00EC3875">
        <w:rPr>
          <w:rFonts w:ascii="Arial" w:hAnsi="Arial" w:cs="Arial"/>
          <w:sz w:val="22"/>
          <w:szCs w:val="22"/>
        </w:rPr>
        <w:t xml:space="preserve">The NBIRR study demonstrated that a protocol of forty to eighty once a day, five days per week 1.5 ATA, </w:t>
      </w:r>
      <w:proofErr w:type="gramStart"/>
      <w:r w:rsidRPr="00EC3875">
        <w:rPr>
          <w:rFonts w:ascii="Arial" w:hAnsi="Arial" w:cs="Arial"/>
          <w:sz w:val="22"/>
          <w:szCs w:val="22"/>
        </w:rPr>
        <w:t>60 minute</w:t>
      </w:r>
      <w:proofErr w:type="gramEnd"/>
      <w:r w:rsidRPr="00EC3875">
        <w:rPr>
          <w:rFonts w:ascii="Arial" w:hAnsi="Arial" w:cs="Arial"/>
          <w:sz w:val="22"/>
          <w:szCs w:val="22"/>
        </w:rPr>
        <w:t xml:space="preserve"> HBO2 sessions was safe in this cohort of subjects with mild blast and non-blast TBI with post-concussive symptoms with or without PTSD. </w:t>
      </w:r>
      <w:r w:rsidRPr="00EC3875">
        <w:rPr>
          <w:rFonts w:ascii="Arial" w:hAnsi="Arial"/>
          <w:sz w:val="22"/>
        </w:rPr>
        <w:t>The lack of complications in the study is consistent with traditional applications of HBO2</w:t>
      </w:r>
      <w:r w:rsidRPr="00EC3875">
        <w:rPr>
          <w:rStyle w:val="EndnoteReference2"/>
          <w:rFonts w:ascii="Arial" w:hAnsi="Arial"/>
          <w:sz w:val="22"/>
        </w:rPr>
        <w:endnoteReference w:id="179"/>
      </w:r>
      <w:r w:rsidRPr="00EC3875">
        <w:rPr>
          <w:rFonts w:ascii="Arial" w:hAnsi="Arial"/>
          <w:sz w:val="22"/>
        </w:rPr>
        <w:t>.  The once a day, five day/week schedule was well tolerated, at least to 80 sessions, in this study.</w:t>
      </w:r>
      <w:r w:rsidRPr="00EC3875">
        <w:rPr>
          <w:rFonts w:ascii="Arial" w:hAnsi="Arial"/>
          <w:sz w:val="22"/>
          <w:vertAlign w:val="superscript"/>
        </w:rPr>
        <w:t xml:space="preserve"> </w:t>
      </w:r>
    </w:p>
    <w:p w14:paraId="07149783" w14:textId="77777777" w:rsidR="00B17EF4" w:rsidRPr="00EC3875" w:rsidRDefault="00B17EF4" w:rsidP="00C2393D">
      <w:pPr>
        <w:pStyle w:val="HTMLPreformatted1"/>
        <w:tabs>
          <w:tab w:val="clear" w:pos="8244"/>
          <w:tab w:val="clear" w:pos="9160"/>
          <w:tab w:val="clear" w:pos="10076"/>
          <w:tab w:val="clear" w:pos="10992"/>
          <w:tab w:val="clear" w:pos="11908"/>
          <w:tab w:val="clear" w:pos="12824"/>
          <w:tab w:val="clear" w:pos="13740"/>
          <w:tab w:val="clear" w:pos="14656"/>
          <w:tab w:val="left" w:pos="8140"/>
        </w:tabs>
        <w:spacing w:before="100" w:beforeAutospacing="1" w:after="100" w:afterAutospacing="1"/>
        <w:rPr>
          <w:rFonts w:ascii="Arial" w:hAnsi="Arial"/>
          <w:sz w:val="22"/>
        </w:rPr>
      </w:pPr>
      <w:r w:rsidRPr="00EC3875">
        <w:rPr>
          <w:rFonts w:ascii="Arial" w:hAnsi="Arial"/>
          <w:sz w:val="22"/>
        </w:rPr>
        <w:t xml:space="preserve">When the NBIRR study was designed the researchers postulated that mTBI with post concussive symptoms as well as PTSD were dynamic conditions capable of improvement years after diagnosis.  For this </w:t>
      </w:r>
      <w:proofErr w:type="gramStart"/>
      <w:r w:rsidRPr="00EC3875">
        <w:rPr>
          <w:rFonts w:ascii="Arial" w:hAnsi="Arial"/>
          <w:sz w:val="22"/>
        </w:rPr>
        <w:t>reason</w:t>
      </w:r>
      <w:proofErr w:type="gramEnd"/>
      <w:r w:rsidRPr="00EC3875">
        <w:rPr>
          <w:rFonts w:ascii="Arial" w:hAnsi="Arial"/>
          <w:sz w:val="22"/>
        </w:rPr>
        <w:t xml:space="preserve"> no upper limit on the number of years since injury was imposed on subjects.  The results of the study demonstrated that improvement was possible years </w:t>
      </w:r>
      <w:proofErr w:type="spellStart"/>
      <w:r w:rsidRPr="00EC3875">
        <w:rPr>
          <w:rFonts w:ascii="Arial" w:hAnsi="Arial"/>
          <w:sz w:val="22"/>
        </w:rPr>
        <w:t>afters</w:t>
      </w:r>
      <w:proofErr w:type="spellEnd"/>
      <w:r w:rsidRPr="00EC3875">
        <w:rPr>
          <w:rFonts w:ascii="Arial" w:hAnsi="Arial"/>
          <w:sz w:val="22"/>
        </w:rPr>
        <w:t xml:space="preserve"> injury, though not as great as for subjects who were treated sooner after injury.</w:t>
      </w:r>
    </w:p>
    <w:p w14:paraId="2DB5D1FD" w14:textId="77777777" w:rsidR="00B17EF4" w:rsidRPr="00EC3875" w:rsidRDefault="00B17EF4" w:rsidP="00C2393D">
      <w:pPr>
        <w:pStyle w:val="HTMLPreformatted1"/>
        <w:tabs>
          <w:tab w:val="clear" w:pos="8244"/>
          <w:tab w:val="clear" w:pos="9160"/>
          <w:tab w:val="clear" w:pos="10076"/>
          <w:tab w:val="clear" w:pos="10992"/>
          <w:tab w:val="clear" w:pos="11908"/>
          <w:tab w:val="clear" w:pos="12824"/>
          <w:tab w:val="clear" w:pos="13740"/>
          <w:tab w:val="clear" w:pos="14656"/>
          <w:tab w:val="left" w:pos="8140"/>
        </w:tabs>
        <w:spacing w:before="100" w:beforeAutospacing="1" w:after="100" w:afterAutospacing="1"/>
        <w:rPr>
          <w:rFonts w:ascii="Arial" w:hAnsi="Arial"/>
          <w:sz w:val="22"/>
        </w:rPr>
      </w:pPr>
      <w:r w:rsidRPr="00EC3875">
        <w:rPr>
          <w:rFonts w:ascii="Arial" w:hAnsi="Arial"/>
          <w:sz w:val="22"/>
        </w:rPr>
        <w:t xml:space="preserve">The study also tested the new online data collection system and the research capabilities of a network of hyperbaric clinics.  The online data entry system, the </w:t>
      </w:r>
      <w:proofErr w:type="spellStart"/>
      <w:r w:rsidRPr="00EC3875">
        <w:rPr>
          <w:rFonts w:ascii="Arial" w:hAnsi="Arial"/>
          <w:sz w:val="22"/>
        </w:rPr>
        <w:t>CareVector</w:t>
      </w:r>
      <w:proofErr w:type="spellEnd"/>
      <w:r w:rsidRPr="00EC3875">
        <w:rPr>
          <w:rFonts w:ascii="Arial" w:hAnsi="Arial"/>
          <w:sz w:val="22"/>
        </w:rPr>
        <w:t xml:space="preserve">™ Platform developed to support multicenter clinical observational studies, was successful in capturing patient, HBO2 administration, computer-generated tests, and report data from multiple centers.  The brain-injured and cognitively impaired subjects were able to successfully manage the computer-based systems necessary to conduct this trial.  This portends well for future larger studies of this type as well as other pilot trials with different brain-injured populations.  Even though many of the mTBI subjects had lives in disarray, it was remarkable that they were able to commit such a large block of their time and resources to complete the study.   It is also notable that each center paid all administrative costs and IRB fees as well as generally treating the </w:t>
      </w:r>
      <w:r w:rsidRPr="00EC3875">
        <w:rPr>
          <w:rFonts w:ascii="Arial" w:hAnsi="Arial"/>
          <w:sz w:val="22"/>
        </w:rPr>
        <w:lastRenderedPageBreak/>
        <w:t xml:space="preserve">subjects gratis, demonstrating that small pilot HBO2 trials can be successfully conducted without outside funding.  </w:t>
      </w:r>
    </w:p>
    <w:p w14:paraId="104D6D72" w14:textId="77777777" w:rsidR="00B17EF4" w:rsidRPr="00EC3875" w:rsidRDefault="00B17EF4" w:rsidP="00C2393D">
      <w:pPr>
        <w:widowControl w:val="0"/>
        <w:spacing w:before="100" w:beforeAutospacing="1" w:after="100" w:afterAutospacing="1" w:line="240" w:lineRule="auto"/>
        <w:rPr>
          <w:rFonts w:ascii="Arial Bold" w:hAnsi="Arial Bold"/>
          <w:sz w:val="22"/>
        </w:rPr>
      </w:pPr>
      <w:r w:rsidRPr="00EC3875">
        <w:rPr>
          <w:rFonts w:ascii="Arial Bold" w:hAnsi="Arial Bold"/>
          <w:sz w:val="22"/>
        </w:rPr>
        <w:t>Placebo and Hawthorne effects</w:t>
      </w:r>
    </w:p>
    <w:p w14:paraId="056C77C6"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The Hawthorne effect is a change in the outcome of an experiment effected through the inclusion in the experiment and thought to be influenced by the increased attention given to subjects and the knowledge among subjects that they are being studied</w:t>
      </w:r>
      <w:r w:rsidRPr="00EC3875">
        <w:rPr>
          <w:rStyle w:val="EndnoteReference2"/>
          <w:rFonts w:ascii="Arial" w:hAnsi="Arial"/>
          <w:sz w:val="22"/>
        </w:rPr>
        <w:endnoteReference w:id="180"/>
      </w:r>
      <w:r w:rsidRPr="00EC3875">
        <w:rPr>
          <w:rFonts w:ascii="Arial" w:hAnsi="Arial"/>
          <w:sz w:val="22"/>
        </w:rPr>
        <w:t xml:space="preserve">.   While the study was not designed nor intended to prove efficacy, it was interesting to observe the magnitude of improvement in nearly all measures in this group of deteriorating or unchanging subjects.  In any uncontrolled study placebo and Hawthorne effects cannot be excluded as the source of observed effects. </w:t>
      </w:r>
    </w:p>
    <w:p w14:paraId="619F84F6"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In the NBIRR study without controls, changes in outcome might be attributed, at least in part, to a placebo effect.  The placebo effect in this type of study is a psychobiological phenomenon capable of altering the subject’s brain and producing subjective improvement.  The increased attention and schedule of appointments for subjects have the capability of altering subject perceptions of one’s self and the added structure to personal schedules and commitment to study participation can be perceived as having therapeutic value</w:t>
      </w:r>
      <w:r w:rsidRPr="00EC3875">
        <w:rPr>
          <w:rStyle w:val="EndnoteReference2"/>
          <w:rFonts w:ascii="Arial" w:hAnsi="Arial"/>
          <w:sz w:val="22"/>
        </w:rPr>
        <w:endnoteReference w:id="181"/>
      </w:r>
      <w:r w:rsidRPr="00EC3875">
        <w:rPr>
          <w:rFonts w:ascii="Arial" w:hAnsi="Arial"/>
          <w:sz w:val="22"/>
        </w:rPr>
        <w:t>.  Placebo effects have the capability to change the brain and in neurobiology can be considered a form of treatment in some circumstances</w:t>
      </w:r>
      <w:r w:rsidRPr="00EC3875">
        <w:rPr>
          <w:rStyle w:val="EndnoteReference1"/>
          <w:rFonts w:ascii="Arial" w:hAnsi="Arial"/>
          <w:sz w:val="22"/>
        </w:rPr>
        <w:endnoteReference w:id="182"/>
      </w:r>
      <w:r w:rsidRPr="00EC3875">
        <w:rPr>
          <w:rFonts w:ascii="Arial" w:hAnsi="Arial"/>
          <w:sz w:val="22"/>
        </w:rPr>
        <w:t xml:space="preserve">.  Without controls, it is impossible to determine the cause of the improvement seen in the subjects whether it be from the Hawthorne effect, placebo effect, or hyperbaric oxygen, or some combination of the three.  </w:t>
      </w:r>
    </w:p>
    <w:p w14:paraId="47289D96" w14:textId="77777777" w:rsidR="00B17EF4" w:rsidRPr="00EC3875" w:rsidRDefault="00B17EF4" w:rsidP="00C2393D">
      <w:pPr>
        <w:spacing w:before="100" w:beforeAutospacing="1" w:after="100" w:afterAutospacing="1" w:line="240" w:lineRule="auto"/>
        <w:rPr>
          <w:rFonts w:ascii="Arial" w:hAnsi="Arial"/>
          <w:sz w:val="22"/>
        </w:rPr>
      </w:pPr>
      <w:r w:rsidRPr="00EC3875">
        <w:rPr>
          <w:rFonts w:ascii="Arial" w:hAnsi="Arial"/>
          <w:sz w:val="22"/>
        </w:rPr>
        <w:t>When TBI patients have stabilized symptoms, and have shown no improvement for several months, the likelihood of spontaneous improvement is low.  A recent study at the University of Oklahoma Veterans Hospital in veterans of Operation Enduring Freedom/Operation Iraqi Freedom (OEF/OIF) screening positive for chronic TBI indicated that “for all of the parameters measured, there was no difference in occurrence or intensity (of symptoms) between the subjects who were within 2 years of the TBI and those who suffered the TBI 3-8 years earlier”</w:t>
      </w:r>
      <w:r w:rsidRPr="00EC3875">
        <w:rPr>
          <w:rStyle w:val="EndnoteReference2"/>
          <w:rFonts w:ascii="Arial" w:hAnsi="Arial"/>
          <w:sz w:val="22"/>
        </w:rPr>
        <w:endnoteReference w:id="183"/>
      </w:r>
      <w:r w:rsidRPr="00EC3875">
        <w:rPr>
          <w:rFonts w:ascii="Arial" w:hAnsi="Arial"/>
          <w:sz w:val="22"/>
        </w:rPr>
        <w:t>.   The Congressional Budget Office report on the Veterans Health Administration treatment of PTSD and TBI in recent combat veterans released in February 2012 showed that the health care costs of veterans with all types of TBI remained relatively constant and 67% of TBI patients, 76% of PTSD patients, and 96% of TBI/PTSD patients continued to use VA health care services after four years of treatment</w:t>
      </w:r>
      <w:r w:rsidRPr="00EC3875">
        <w:rPr>
          <w:rStyle w:val="EndnoteReference"/>
          <w:rFonts w:ascii="Arial" w:hAnsi="Arial"/>
          <w:sz w:val="22"/>
        </w:rPr>
        <w:endnoteReference w:id="184"/>
      </w:r>
      <w:r w:rsidRPr="00EC3875">
        <w:rPr>
          <w:rFonts w:ascii="Arial" w:hAnsi="Arial"/>
          <w:sz w:val="22"/>
        </w:rPr>
        <w:t>.</w:t>
      </w:r>
      <w:r w:rsidRPr="00EC3875">
        <w:rPr>
          <w:rStyle w:val="EndnoteReference"/>
          <w:rFonts w:ascii="Arial" w:eastAsia="Times New Roman" w:hAnsi="Arial" w:cs="Arial"/>
          <w:bCs/>
          <w:color w:val="FFFFFF"/>
          <w:sz w:val="22"/>
          <w:szCs w:val="22"/>
        </w:rPr>
        <w:t xml:space="preserve"> </w:t>
      </w:r>
      <w:r w:rsidRPr="00EC3875">
        <w:rPr>
          <w:rFonts w:ascii="Arial" w:hAnsi="Arial"/>
          <w:sz w:val="22"/>
        </w:rPr>
        <w:t xml:space="preserve">  The NBIRR subjects had failed to improve, sometimes for decades, and only improved after inclusion in the protocol and HBO2 administration.  </w:t>
      </w:r>
    </w:p>
    <w:p w14:paraId="3211049D" w14:textId="77777777" w:rsidR="00B17EF4" w:rsidRPr="00EC3875" w:rsidRDefault="00B17EF4" w:rsidP="00C2393D">
      <w:pPr>
        <w:spacing w:before="100" w:beforeAutospacing="1" w:after="100" w:afterAutospacing="1" w:line="240" w:lineRule="auto"/>
        <w:rPr>
          <w:rFonts w:ascii="Arial" w:hAnsi="Arial"/>
          <w:sz w:val="22"/>
        </w:rPr>
      </w:pPr>
      <w:r w:rsidRPr="00EC3875">
        <w:rPr>
          <w:rFonts w:ascii="Arial" w:hAnsi="Arial"/>
          <w:sz w:val="22"/>
        </w:rPr>
        <w:t xml:space="preserve">We are aware of no other treatment demonstrating the degree of improvement for stable or deteriorating mTBI with post-concussive symptoms as seen in the NBIRR study.  Because there was improvement in characteristics such as reaction time and headache that are unlikely to improve as a result of a Hawthorne or placebo effect, the Hawthorne or placebo effect is thought unlikely to have contributed significantly to the overall pattern of observed improvement.  It is possible to consider placebos and Hawthorne effects as types of treatment for TBI with potential </w:t>
      </w:r>
      <w:proofErr w:type="gramStart"/>
      <w:r w:rsidRPr="00EC3875">
        <w:rPr>
          <w:rFonts w:ascii="Arial" w:hAnsi="Arial"/>
          <w:sz w:val="22"/>
        </w:rPr>
        <w:t>long lasting</w:t>
      </w:r>
      <w:proofErr w:type="gramEnd"/>
      <w:r w:rsidRPr="00EC3875">
        <w:rPr>
          <w:rFonts w:ascii="Arial" w:hAnsi="Arial"/>
          <w:sz w:val="22"/>
        </w:rPr>
        <w:t xml:space="preserve"> effects and demonstrable brain imaging changes.  The magnitude of these effects </w:t>
      </w:r>
      <w:r w:rsidRPr="00EC3875">
        <w:rPr>
          <w:rFonts w:ascii="Arial" w:hAnsi="Arial"/>
          <w:sz w:val="22"/>
        </w:rPr>
        <w:lastRenderedPageBreak/>
        <w:t>would have to rely on well-considered controls in a clinical study.  Future studies should be designed to separate the possible Hawthorne and placebo effects from that experienced through administration of hyperbaric oxygen.</w:t>
      </w:r>
    </w:p>
    <w:p w14:paraId="51EACEBB"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A diagnosis of PTSD did not appear to have a negative effect on outcomes, and appeared to contribute to better cognitive improvement. For simplicity it would have been useful to exclude subjects with the diagnosis of PTSD and evaluate these subjects in a separate study.  It is hoped that these results will prove useful in planning future randomized controlled studies of HBO2 for traumatic brain injury with post-concussive symptoms and post-traumatic stress disorder.  Future randomized controlled studies should include objective neurocognitive tests as well as objective self-assessment measures.  Objective measures of functionality in daily living would be useful; these might include employment status, earnings reports, education status, grade point averages, changes in marital status, medication records and changes, as well as medical visits and hospitalization for mTBI associated conditions.  To allow time for subjects to demonstrate these results and to establish the durability of HBO2 associated improvement, future studies should incorporate long term follow up.</w:t>
      </w:r>
    </w:p>
    <w:p w14:paraId="66F125B6" w14:textId="77777777" w:rsidR="00B17EF4" w:rsidRPr="00EC3875" w:rsidRDefault="00B17EF4" w:rsidP="00C2393D">
      <w:pPr>
        <w:widowControl w:val="0"/>
        <w:spacing w:before="100" w:beforeAutospacing="1" w:after="100" w:afterAutospacing="1" w:line="240" w:lineRule="auto"/>
        <w:rPr>
          <w:rFonts w:ascii="Arial" w:hAnsi="Arial"/>
          <w:b/>
          <w:sz w:val="22"/>
        </w:rPr>
      </w:pPr>
      <w:r w:rsidRPr="00EC3875">
        <w:rPr>
          <w:rFonts w:ascii="Arial" w:hAnsi="Arial"/>
          <w:b/>
          <w:sz w:val="22"/>
        </w:rPr>
        <w:t>Summary</w:t>
      </w:r>
    </w:p>
    <w:p w14:paraId="4C40B359"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 xml:space="preserve">The HBO2 1.5 ATA protocol for mTBI with post-concussive symptoms with or without PTSD was safe, and could be used in multiple centers.  The neurocognitive test scores for subjects improved in 21 of 25 measures. Earlier HBO2 post-injury, younger age at time of injury and HBO2 administration, and 80 rather than 40 administrations of HBO2 were associated with greater improvement in neurocognitive scores.  Similarly, active duty or veteran military status was associated with improved outcomes.  Inclusion in the protocol with HBO2 administration was accompanied by reductions in symptoms and improvement in neurocognitive test scores even several years after sustaining mTBI.  </w:t>
      </w:r>
    </w:p>
    <w:p w14:paraId="24724575" w14:textId="77777777" w:rsidR="00B17EF4" w:rsidRPr="00EC3875" w:rsidRDefault="00B17EF4" w:rsidP="00C2393D">
      <w:pPr>
        <w:widowControl w:val="0"/>
        <w:spacing w:before="100" w:beforeAutospacing="1" w:after="100" w:afterAutospacing="1" w:line="240" w:lineRule="auto"/>
        <w:rPr>
          <w:rFonts w:ascii="Arial Bold" w:hAnsi="Arial Bold"/>
          <w:sz w:val="22"/>
        </w:rPr>
      </w:pPr>
      <w:r w:rsidRPr="00EC3875">
        <w:rPr>
          <w:rFonts w:ascii="Arial Bold" w:hAnsi="Arial Bold"/>
          <w:sz w:val="22"/>
        </w:rPr>
        <w:t>Acknowledgements</w:t>
      </w:r>
    </w:p>
    <w:p w14:paraId="4EDF6016" w14:textId="77777777" w:rsidR="00B17EF4" w:rsidRPr="00EC3875" w:rsidRDefault="00B17EF4" w:rsidP="00C2393D">
      <w:pPr>
        <w:widowControl w:val="0"/>
        <w:spacing w:before="100" w:beforeAutospacing="1" w:after="100" w:afterAutospacing="1" w:line="240" w:lineRule="auto"/>
        <w:rPr>
          <w:rFonts w:ascii="Arial" w:hAnsi="Arial"/>
          <w:sz w:val="22"/>
        </w:rPr>
      </w:pPr>
      <w:r w:rsidRPr="00EC3875">
        <w:rPr>
          <w:rFonts w:ascii="Arial" w:hAnsi="Arial"/>
          <w:sz w:val="22"/>
        </w:rPr>
        <w:t xml:space="preserve">The contributions of William Duncan Ph.D. for assistance with the protocol, and Paul Rock, Ph.D., D.O., Latisha Smith, M.D., Julie Stapleton, M.D., Enrico Versace, M.D., Ladonna Lacey B.S., Lisa Terry, M.S., Gayle Link, R.N., Ryan Fulmer, C.H.T., Eddie Gomez, C.H.T., Michelle </w:t>
      </w:r>
      <w:proofErr w:type="spellStart"/>
      <w:r w:rsidRPr="00EC3875">
        <w:rPr>
          <w:rFonts w:ascii="Arial" w:hAnsi="Arial"/>
          <w:sz w:val="22"/>
        </w:rPr>
        <w:t>Potpan</w:t>
      </w:r>
      <w:proofErr w:type="spellEnd"/>
      <w:r w:rsidRPr="00EC3875">
        <w:rPr>
          <w:rFonts w:ascii="Arial" w:hAnsi="Arial"/>
          <w:sz w:val="22"/>
        </w:rPr>
        <w:t>, C.H.T., Brian Wolfe, C.H.T., Shayne Harmsen, B.S., and Franklin Brightwater, C.H.T. for assistance with the subjects and data collection are gratefully acknowledged.</w:t>
      </w:r>
    </w:p>
    <w:p w14:paraId="6A7609E0" w14:textId="77777777" w:rsidR="00B17EF4" w:rsidRPr="00EC3875" w:rsidRDefault="00B17EF4" w:rsidP="00C2393D">
      <w:pPr>
        <w:pStyle w:val="EndnoteText"/>
        <w:spacing w:before="100" w:beforeAutospacing="1" w:after="100" w:afterAutospacing="1"/>
        <w:rPr>
          <w:rFonts w:ascii="Arial" w:hAnsi="Arial" w:cs="Arial"/>
          <w:b/>
          <w:sz w:val="22"/>
          <w:szCs w:val="22"/>
        </w:rPr>
      </w:pPr>
      <w:r w:rsidRPr="00EC3875">
        <w:rPr>
          <w:rFonts w:ascii="Arial" w:hAnsi="Arial" w:cs="Arial"/>
          <w:b/>
          <w:sz w:val="22"/>
          <w:szCs w:val="22"/>
        </w:rPr>
        <w:t>Appendix</w:t>
      </w:r>
    </w:p>
    <w:p w14:paraId="4D65C711" w14:textId="77777777" w:rsidR="00B17EF4" w:rsidRPr="00EC3875" w:rsidRDefault="00B17EF4" w:rsidP="00C2393D">
      <w:pPr>
        <w:pStyle w:val="EndnoteText"/>
        <w:spacing w:before="100" w:beforeAutospacing="1" w:after="100" w:afterAutospacing="1"/>
        <w:rPr>
          <w:rFonts w:ascii="Arial" w:hAnsi="Arial" w:cs="Arial"/>
          <w:sz w:val="22"/>
          <w:szCs w:val="22"/>
        </w:rPr>
      </w:pPr>
      <w:r w:rsidRPr="00EC3875">
        <w:rPr>
          <w:rFonts w:ascii="Arial" w:hAnsi="Arial" w:cs="Arial"/>
          <w:sz w:val="22"/>
          <w:szCs w:val="22"/>
        </w:rPr>
        <w:t xml:space="preserve">Study sites were Oklahoma State University Center for Aerospace &amp; Hyperbaric Medicine, Tulsa, OK, San Francisco Institute for Hyperbaric Medicine, San Francisco, CA, Hyperbaric Medicine, Inc., Fort Walton Beach, FL, </w:t>
      </w:r>
      <w:proofErr w:type="spellStart"/>
      <w:r w:rsidRPr="00EC3875">
        <w:rPr>
          <w:rFonts w:ascii="Arial" w:hAnsi="Arial" w:cs="Arial"/>
          <w:sz w:val="22"/>
          <w:szCs w:val="22"/>
        </w:rPr>
        <w:t>Restorix</w:t>
      </w:r>
      <w:proofErr w:type="spellEnd"/>
      <w:r w:rsidRPr="00EC3875">
        <w:rPr>
          <w:rFonts w:ascii="Arial" w:hAnsi="Arial" w:cs="Arial"/>
          <w:sz w:val="22"/>
          <w:szCs w:val="22"/>
        </w:rPr>
        <w:t xml:space="preserve"> Health, Issaquah, WA, Life Force Therapies, Minneapolis, MN.</w:t>
      </w:r>
    </w:p>
    <w:p w14:paraId="0A153286" w14:textId="55E80E31" w:rsidR="00B17EF4" w:rsidRPr="00EC3875" w:rsidRDefault="00B17EF4" w:rsidP="00C2393D">
      <w:pPr>
        <w:pStyle w:val="FreeForm"/>
        <w:spacing w:before="100" w:beforeAutospacing="1" w:after="100" w:afterAutospacing="1"/>
        <w:rPr>
          <w:sz w:val="24"/>
        </w:rPr>
      </w:pPr>
      <w:r w:rsidRPr="00EC3875">
        <w:rPr>
          <w:rFonts w:ascii="Arial Bold" w:hAnsi="Arial Bold"/>
          <w:sz w:val="22"/>
        </w:rPr>
        <w:t>Conflict of interest</w:t>
      </w:r>
    </w:p>
    <w:p w14:paraId="30203263" w14:textId="77777777" w:rsidR="00B17EF4" w:rsidRPr="00EC3875" w:rsidRDefault="00B17EF4" w:rsidP="00C2393D">
      <w:pPr>
        <w:spacing w:before="100" w:beforeAutospacing="1" w:after="100" w:afterAutospacing="1" w:line="240" w:lineRule="auto"/>
        <w:rPr>
          <w:rFonts w:ascii="Times New Roman Bold" w:hAnsi="Times New Roman Bold"/>
        </w:rPr>
      </w:pPr>
    </w:p>
    <w:p w14:paraId="5E39DCB9" w14:textId="77777777" w:rsidR="00B17EF4" w:rsidRPr="00EC3875" w:rsidRDefault="00B17EF4" w:rsidP="00C2393D">
      <w:pPr>
        <w:spacing w:before="100" w:beforeAutospacing="1" w:after="100" w:afterAutospacing="1" w:line="240" w:lineRule="auto"/>
        <w:rPr>
          <w:rFonts w:cs="Arial"/>
          <w:szCs w:val="22"/>
        </w:rPr>
      </w:pPr>
      <w:r w:rsidRPr="00EC3875">
        <w:rPr>
          <w:rFonts w:ascii="Arial" w:hAnsi="Arial" w:cs="Arial"/>
          <w:sz w:val="22"/>
          <w:szCs w:val="22"/>
        </w:rPr>
        <w:t xml:space="preserve">Drs. Stoller, Wright, </w:t>
      </w:r>
      <w:proofErr w:type="spellStart"/>
      <w:r w:rsidRPr="00EC3875">
        <w:rPr>
          <w:rFonts w:ascii="Arial" w:hAnsi="Arial" w:cs="Arial"/>
          <w:sz w:val="22"/>
          <w:szCs w:val="22"/>
        </w:rPr>
        <w:t>Mozayeni</w:t>
      </w:r>
      <w:proofErr w:type="spellEnd"/>
      <w:r w:rsidRPr="00EC3875">
        <w:rPr>
          <w:rFonts w:ascii="Arial" w:hAnsi="Arial" w:cs="Arial"/>
          <w:sz w:val="22"/>
          <w:szCs w:val="22"/>
        </w:rPr>
        <w:t>, and Harch are on the Board of Directors of the study sponsor, the non-profit 501</w:t>
      </w:r>
      <w:proofErr w:type="gramStart"/>
      <w:r w:rsidRPr="00EC3875">
        <w:rPr>
          <w:rFonts w:ascii="Arial" w:hAnsi="Arial" w:cs="Arial"/>
          <w:sz w:val="22"/>
          <w:szCs w:val="22"/>
        </w:rPr>
        <w:t>c(</w:t>
      </w:r>
      <w:proofErr w:type="gramEnd"/>
      <w:r w:rsidRPr="00EC3875">
        <w:rPr>
          <w:rFonts w:ascii="Arial" w:hAnsi="Arial" w:cs="Arial"/>
          <w:sz w:val="22"/>
          <w:szCs w:val="22"/>
        </w:rPr>
        <w:t xml:space="preserve">3) International Hyperbaric Medical Foundation.  Mr. Reimers is the Chief Financial Officer of the International Hyperbaric Medical Foundation, and a vendor of hyperbaric chambers and equipment.  Dr. Harch is a small business owner of a consulting company, Harch Hyperbarics, Inc.   Drs. Beckman and </w:t>
      </w:r>
      <w:proofErr w:type="spellStart"/>
      <w:r w:rsidRPr="00EC3875">
        <w:rPr>
          <w:rFonts w:ascii="Arial" w:hAnsi="Arial" w:cs="Arial"/>
          <w:sz w:val="22"/>
          <w:szCs w:val="22"/>
        </w:rPr>
        <w:t>Mozayeni</w:t>
      </w:r>
      <w:proofErr w:type="spellEnd"/>
      <w:r w:rsidRPr="00EC3875">
        <w:rPr>
          <w:rFonts w:ascii="Arial" w:hAnsi="Arial" w:cs="Arial"/>
          <w:sz w:val="22"/>
          <w:szCs w:val="22"/>
        </w:rPr>
        <w:t xml:space="preserve"> have an interest in </w:t>
      </w:r>
      <w:proofErr w:type="spellStart"/>
      <w:r w:rsidRPr="00EC3875">
        <w:rPr>
          <w:rFonts w:ascii="Arial" w:hAnsi="Arial" w:cs="Arial"/>
          <w:sz w:val="22"/>
          <w:szCs w:val="22"/>
        </w:rPr>
        <w:t>CareVector</w:t>
      </w:r>
      <w:proofErr w:type="spellEnd"/>
      <w:r w:rsidRPr="00EC3875">
        <w:rPr>
          <w:rFonts w:ascii="Arial" w:hAnsi="Arial" w:cs="Arial"/>
          <w:sz w:val="22"/>
          <w:szCs w:val="22"/>
        </w:rPr>
        <w:t xml:space="preserve"> LLC, the developer of case report form data collection software used to support this study.  The other authors have no conflict of interest</w:t>
      </w:r>
      <w:r w:rsidRPr="00EC3875">
        <w:rPr>
          <w:rFonts w:cs="Arial"/>
          <w:szCs w:val="22"/>
        </w:rPr>
        <w:t>.</w:t>
      </w:r>
    </w:p>
    <w:p w14:paraId="6CD5A076" w14:textId="77777777" w:rsidR="00B17EF4" w:rsidRPr="00EC3875" w:rsidRDefault="00B17EF4" w:rsidP="008B42F4">
      <w:pPr>
        <w:spacing w:line="480" w:lineRule="auto"/>
        <w:rPr>
          <w:sz w:val="20"/>
        </w:rPr>
      </w:pPr>
      <w:r w:rsidRPr="00EC3875">
        <w:rPr>
          <w:rFonts w:cs="Arial"/>
          <w:szCs w:val="22"/>
        </w:rPr>
        <w:br w:type="page"/>
      </w:r>
      <w:r w:rsidR="001322EE">
        <w:rPr>
          <w:sz w:val="20"/>
        </w:rPr>
        <w:lastRenderedPageBreak/>
        <w:pict w14:anchorId="041129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5pt;height:516.5pt">
            <v:imagedata r:id="rId11" o:title=""/>
          </v:shape>
        </w:pict>
      </w:r>
    </w:p>
    <w:p w14:paraId="5A79C75A" w14:textId="77777777" w:rsidR="00B17EF4" w:rsidRPr="00EC3875" w:rsidRDefault="00B17EF4" w:rsidP="001E242D">
      <w:pPr>
        <w:pStyle w:val="Default"/>
        <w:spacing w:line="480" w:lineRule="auto"/>
        <w:rPr>
          <w:rFonts w:ascii="Arial" w:hAnsi="Arial"/>
          <w:sz w:val="22"/>
        </w:rPr>
      </w:pPr>
      <w:r w:rsidRPr="00EC3875">
        <w:rPr>
          <w:rFonts w:ascii="Arial" w:hAnsi="Arial"/>
          <w:b/>
          <w:sz w:val="22"/>
        </w:rPr>
        <w:t xml:space="preserve">Figure 1: </w:t>
      </w:r>
      <w:r w:rsidRPr="00EC3875">
        <w:rPr>
          <w:rFonts w:ascii="Arial" w:hAnsi="Arial"/>
          <w:sz w:val="22"/>
        </w:rPr>
        <w:t>Flow diagram of study participants included in this report.</w:t>
      </w:r>
    </w:p>
    <w:p w14:paraId="0CE1A489" w14:textId="77777777" w:rsidR="00B17EF4" w:rsidRPr="00EC3875" w:rsidRDefault="00B17EF4" w:rsidP="0086162D">
      <w:pPr>
        <w:widowControl w:val="0"/>
        <w:spacing w:line="480" w:lineRule="auto"/>
        <w:rPr>
          <w:rFonts w:ascii="Arial" w:hAnsi="Arial"/>
          <w:sz w:val="22"/>
        </w:rPr>
      </w:pPr>
      <w:r w:rsidRPr="00EC3875">
        <w:rPr>
          <w:rFonts w:ascii="Arial" w:hAnsi="Arial"/>
          <w:sz w:val="22"/>
        </w:rPr>
        <w:br w:type="page"/>
      </w:r>
      <w:r w:rsidR="001322EE">
        <w:rPr>
          <w:rFonts w:ascii="Arial" w:hAnsi="Arial"/>
          <w:sz w:val="22"/>
        </w:rPr>
        <w:lastRenderedPageBreak/>
        <w:pict w14:anchorId="2175FD0C">
          <v:shape id="_x0000_i1026" type="#_x0000_t75" style="width:6in;height:222.8pt">
            <v:imagedata r:id="rId12" o:title=""/>
          </v:shape>
        </w:pict>
      </w:r>
    </w:p>
    <w:p w14:paraId="4771D145" w14:textId="77777777" w:rsidR="00B17EF4" w:rsidRPr="00EC3875" w:rsidRDefault="00B17EF4" w:rsidP="0086162D">
      <w:pPr>
        <w:widowControl w:val="0"/>
        <w:spacing w:line="480" w:lineRule="auto"/>
        <w:rPr>
          <w:rFonts w:ascii="Arial" w:hAnsi="Arial"/>
          <w:sz w:val="22"/>
        </w:rPr>
      </w:pPr>
      <w:r w:rsidRPr="00EC3875">
        <w:rPr>
          <w:rFonts w:ascii="Arial" w:hAnsi="Arial"/>
          <w:b/>
          <w:sz w:val="22"/>
        </w:rPr>
        <w:t xml:space="preserve">Figure 2: </w:t>
      </w:r>
      <w:r w:rsidRPr="00EC3875">
        <w:rPr>
          <w:rFonts w:ascii="Arial" w:hAnsi="Arial"/>
          <w:sz w:val="22"/>
        </w:rPr>
        <w:t>Distribution of subject population time from injury to protocol enrollment</w:t>
      </w:r>
    </w:p>
    <w:p w14:paraId="74761210" w14:textId="77777777" w:rsidR="00B17EF4" w:rsidRPr="00EC3875" w:rsidRDefault="00B17EF4" w:rsidP="00B464C4">
      <w:pPr>
        <w:rPr>
          <w:rFonts w:ascii="Arial" w:hAnsi="Arial"/>
          <w:sz w:val="22"/>
        </w:rPr>
      </w:pPr>
      <w:r w:rsidRPr="00EC3875">
        <w:rPr>
          <w:rFonts w:ascii="Arial" w:hAnsi="Arial"/>
          <w:sz w:val="22"/>
        </w:rPr>
        <w:br w:type="page"/>
      </w:r>
      <w:r w:rsidR="001322EE">
        <w:rPr>
          <w:rFonts w:ascii="Arial" w:hAnsi="Arial"/>
          <w:sz w:val="22"/>
        </w:rPr>
        <w:lastRenderedPageBreak/>
        <w:pict w14:anchorId="467971C0">
          <v:shape id="_x0000_i1027" type="#_x0000_t75" style="width:431.5pt;height:210.25pt">
            <v:imagedata r:id="rId13" o:title=""/>
          </v:shape>
        </w:pict>
      </w:r>
    </w:p>
    <w:p w14:paraId="709FF362" w14:textId="77777777" w:rsidR="00B17EF4" w:rsidRPr="00EC3875" w:rsidRDefault="00B17EF4" w:rsidP="00B464C4">
      <w:pPr>
        <w:rPr>
          <w:rFonts w:ascii="Arial Bold" w:hAnsi="Arial Bold"/>
          <w:sz w:val="16"/>
        </w:rPr>
      </w:pPr>
    </w:p>
    <w:p w14:paraId="4348F54E" w14:textId="77777777" w:rsidR="00B17EF4" w:rsidRPr="00EC3875" w:rsidRDefault="00B17EF4" w:rsidP="00834472">
      <w:pPr>
        <w:spacing w:line="240" w:lineRule="auto"/>
        <w:rPr>
          <w:rFonts w:ascii="Arial" w:hAnsi="Arial" w:cs="Arial"/>
          <w:sz w:val="22"/>
          <w:szCs w:val="22"/>
        </w:rPr>
      </w:pPr>
      <w:r w:rsidRPr="00EC3875">
        <w:rPr>
          <w:rFonts w:ascii="Arial" w:hAnsi="Arial" w:cs="Arial"/>
          <w:b/>
          <w:sz w:val="22"/>
          <w:szCs w:val="22"/>
        </w:rPr>
        <w:t xml:space="preserve">Figure 3: </w:t>
      </w:r>
      <w:r w:rsidRPr="00EC3875">
        <w:rPr>
          <w:rFonts w:ascii="Arial" w:hAnsi="Arial" w:cs="Arial"/>
          <w:sz w:val="22"/>
          <w:szCs w:val="22"/>
        </w:rPr>
        <w:t xml:space="preserve"> ANAM4™ Mood (left) &amp; Neurocognitive (right) Test Scores.  Average values from test subjects are displayed.  Prior to each AMAM4™ assessment, subjects were asked to rate eight mood areas (left) before undertaking a battery of neurocognitive test (right). SRT denotes Simple Reaction Time, CS-L Code Substitution-Learning, PRT Procedural Reaction Time, MP Mathematical Processing, </w:t>
      </w:r>
      <w:proofErr w:type="spellStart"/>
      <w:r w:rsidRPr="00EC3875">
        <w:rPr>
          <w:rFonts w:ascii="Arial" w:hAnsi="Arial" w:cs="Arial"/>
          <w:sz w:val="22"/>
          <w:szCs w:val="22"/>
        </w:rPr>
        <w:t>MtS</w:t>
      </w:r>
      <w:proofErr w:type="spellEnd"/>
      <w:r w:rsidRPr="00EC3875">
        <w:rPr>
          <w:rFonts w:ascii="Arial" w:hAnsi="Arial" w:cs="Arial"/>
          <w:sz w:val="22"/>
          <w:szCs w:val="22"/>
        </w:rPr>
        <w:t xml:space="preserve"> Matching to Sample, CS-D Code Substitution-Delayed, SRT-R Simple Reaction Time-R, * non-parametric.  </w:t>
      </w:r>
      <w:r w:rsidRPr="00EC3875">
        <w:rPr>
          <w:rFonts w:ascii="Arial" w:hAnsi="Arial" w:cs="Arial"/>
          <w:sz w:val="22"/>
          <w:szCs w:val="22"/>
        </w:rPr>
        <w:br w:type="page"/>
      </w:r>
      <w:r w:rsidR="001322EE">
        <w:rPr>
          <w:rFonts w:ascii="Arial" w:hAnsi="Arial" w:cs="Arial"/>
          <w:sz w:val="22"/>
          <w:szCs w:val="22"/>
        </w:rPr>
        <w:lastRenderedPageBreak/>
        <w:pict w14:anchorId="3C0DBC06">
          <v:shape id="_x0000_i1028" type="#_x0000_t75" style="width:431.5pt;height:309.4pt">
            <v:imagedata r:id="rId14" o:title=""/>
          </v:shape>
        </w:pict>
      </w:r>
    </w:p>
    <w:p w14:paraId="60F7912B" w14:textId="77777777" w:rsidR="00B17EF4" w:rsidRPr="00EC3875" w:rsidRDefault="00B17EF4" w:rsidP="00834472">
      <w:pPr>
        <w:spacing w:line="240" w:lineRule="auto"/>
        <w:rPr>
          <w:rFonts w:ascii="Arial" w:hAnsi="Arial" w:cs="Arial"/>
          <w:sz w:val="22"/>
          <w:szCs w:val="22"/>
        </w:rPr>
      </w:pPr>
      <w:r w:rsidRPr="00EC3875">
        <w:rPr>
          <w:rFonts w:ascii="Arial" w:hAnsi="Arial" w:cs="Arial"/>
          <w:b/>
          <w:sz w:val="22"/>
          <w:szCs w:val="22"/>
        </w:rPr>
        <w:t xml:space="preserve">Figure 4: </w:t>
      </w:r>
      <w:r w:rsidRPr="00EC3875">
        <w:rPr>
          <w:rFonts w:ascii="Arial" w:hAnsi="Arial" w:cs="Arial"/>
          <w:sz w:val="22"/>
          <w:szCs w:val="22"/>
        </w:rPr>
        <w:t xml:space="preserve"> CNS VS Neurocognitive test scores.  Average values from test subjects are displayed above.  * </w:t>
      </w:r>
      <w:proofErr w:type="gramStart"/>
      <w:r w:rsidRPr="00EC3875">
        <w:rPr>
          <w:rFonts w:ascii="Arial" w:hAnsi="Arial" w:cs="Arial"/>
          <w:sz w:val="22"/>
          <w:szCs w:val="22"/>
        </w:rPr>
        <w:t>denotes</w:t>
      </w:r>
      <w:proofErr w:type="gramEnd"/>
      <w:r w:rsidRPr="00EC3875">
        <w:rPr>
          <w:rFonts w:ascii="Arial" w:hAnsi="Arial" w:cs="Arial"/>
          <w:sz w:val="22"/>
          <w:szCs w:val="22"/>
        </w:rPr>
        <w:t xml:space="preserve"> non-</w:t>
      </w:r>
      <w:proofErr w:type="gramStart"/>
      <w:r w:rsidRPr="00EC3875">
        <w:rPr>
          <w:rFonts w:ascii="Arial" w:hAnsi="Arial" w:cs="Arial"/>
          <w:sz w:val="22"/>
          <w:szCs w:val="22"/>
        </w:rPr>
        <w:t xml:space="preserve">parametric,   </w:t>
      </w:r>
      <w:proofErr w:type="gramEnd"/>
      <w:r w:rsidRPr="00EC3875">
        <w:rPr>
          <w:rFonts w:ascii="Arial" w:hAnsi="Arial" w:cs="Arial"/>
          <w:sz w:val="22"/>
          <w:szCs w:val="22"/>
        </w:rPr>
        <w:t xml:space="preserve">NCI Neurocognitive Index, CM Composite Memory, </w:t>
      </w:r>
      <w:proofErr w:type="spellStart"/>
      <w:r w:rsidRPr="00EC3875">
        <w:rPr>
          <w:rFonts w:ascii="Arial" w:hAnsi="Arial" w:cs="Arial"/>
          <w:sz w:val="22"/>
          <w:szCs w:val="22"/>
        </w:rPr>
        <w:t>VerbM</w:t>
      </w:r>
      <w:proofErr w:type="spellEnd"/>
      <w:r w:rsidRPr="00EC3875">
        <w:rPr>
          <w:rFonts w:ascii="Arial" w:hAnsi="Arial" w:cs="Arial"/>
          <w:sz w:val="22"/>
          <w:szCs w:val="22"/>
        </w:rPr>
        <w:t xml:space="preserve"> Verbal Memory, </w:t>
      </w:r>
      <w:proofErr w:type="spellStart"/>
      <w:r w:rsidRPr="00EC3875">
        <w:rPr>
          <w:rFonts w:ascii="Arial" w:hAnsi="Arial" w:cs="Arial"/>
          <w:sz w:val="22"/>
          <w:szCs w:val="22"/>
        </w:rPr>
        <w:t>VisM</w:t>
      </w:r>
      <w:proofErr w:type="spellEnd"/>
      <w:r w:rsidRPr="00EC3875">
        <w:rPr>
          <w:rFonts w:ascii="Arial" w:hAnsi="Arial" w:cs="Arial"/>
          <w:sz w:val="22"/>
          <w:szCs w:val="22"/>
        </w:rPr>
        <w:t xml:space="preserve"> Visual Memory, </w:t>
      </w:r>
      <w:proofErr w:type="spellStart"/>
      <w:r w:rsidRPr="00EC3875">
        <w:rPr>
          <w:rFonts w:ascii="Arial" w:hAnsi="Arial" w:cs="Arial"/>
          <w:sz w:val="22"/>
          <w:szCs w:val="22"/>
        </w:rPr>
        <w:t>PsySp</w:t>
      </w:r>
      <w:proofErr w:type="spellEnd"/>
      <w:r w:rsidRPr="00EC3875">
        <w:rPr>
          <w:rFonts w:ascii="Arial" w:hAnsi="Arial" w:cs="Arial"/>
          <w:sz w:val="22"/>
          <w:szCs w:val="22"/>
        </w:rPr>
        <w:t xml:space="preserve"> Psychomotor Speed, RT Reaction </w:t>
      </w:r>
      <w:proofErr w:type="gramStart"/>
      <w:r w:rsidRPr="00EC3875">
        <w:rPr>
          <w:rFonts w:ascii="Arial" w:hAnsi="Arial" w:cs="Arial"/>
          <w:sz w:val="22"/>
          <w:szCs w:val="22"/>
        </w:rPr>
        <w:t xml:space="preserve">Time,  </w:t>
      </w:r>
      <w:proofErr w:type="spellStart"/>
      <w:r w:rsidRPr="00EC3875">
        <w:rPr>
          <w:rFonts w:ascii="Arial" w:hAnsi="Arial" w:cs="Arial"/>
          <w:sz w:val="22"/>
          <w:szCs w:val="22"/>
        </w:rPr>
        <w:t>CxA</w:t>
      </w:r>
      <w:proofErr w:type="spellEnd"/>
      <w:proofErr w:type="gramEnd"/>
      <w:r w:rsidRPr="00EC3875">
        <w:rPr>
          <w:rFonts w:ascii="Arial" w:hAnsi="Arial" w:cs="Arial"/>
          <w:sz w:val="22"/>
          <w:szCs w:val="22"/>
        </w:rPr>
        <w:t xml:space="preserve"> Complex </w:t>
      </w:r>
      <w:proofErr w:type="gramStart"/>
      <w:r w:rsidRPr="00EC3875">
        <w:rPr>
          <w:rFonts w:ascii="Arial" w:hAnsi="Arial" w:cs="Arial"/>
          <w:sz w:val="22"/>
          <w:szCs w:val="22"/>
        </w:rPr>
        <w:t>Attention,  CF</w:t>
      </w:r>
      <w:proofErr w:type="gramEnd"/>
      <w:r w:rsidRPr="00EC3875">
        <w:rPr>
          <w:rFonts w:ascii="Arial" w:hAnsi="Arial" w:cs="Arial"/>
          <w:sz w:val="22"/>
          <w:szCs w:val="22"/>
        </w:rPr>
        <w:t xml:space="preserve"> Cognitive Flexibility, PS Processing </w:t>
      </w:r>
      <w:proofErr w:type="gramStart"/>
      <w:r w:rsidRPr="00EC3875">
        <w:rPr>
          <w:rFonts w:ascii="Arial" w:hAnsi="Arial" w:cs="Arial"/>
          <w:sz w:val="22"/>
          <w:szCs w:val="22"/>
        </w:rPr>
        <w:t xml:space="preserve">Speed,  </w:t>
      </w:r>
      <w:proofErr w:type="spellStart"/>
      <w:r w:rsidRPr="00EC3875">
        <w:rPr>
          <w:rFonts w:ascii="Arial" w:hAnsi="Arial" w:cs="Arial"/>
          <w:sz w:val="22"/>
          <w:szCs w:val="22"/>
        </w:rPr>
        <w:t>ExFn</w:t>
      </w:r>
      <w:proofErr w:type="spellEnd"/>
      <w:proofErr w:type="gramEnd"/>
      <w:r w:rsidRPr="00EC3875">
        <w:rPr>
          <w:rFonts w:ascii="Arial" w:hAnsi="Arial" w:cs="Arial"/>
          <w:sz w:val="22"/>
          <w:szCs w:val="22"/>
        </w:rPr>
        <w:t xml:space="preserve"> Executive Functioning.  </w:t>
      </w:r>
    </w:p>
    <w:p w14:paraId="148904AD" w14:textId="77777777" w:rsidR="00B17EF4" w:rsidRPr="00EC3875" w:rsidRDefault="00B17EF4" w:rsidP="00103DF8">
      <w:pPr>
        <w:widowControl w:val="0"/>
        <w:spacing w:line="480" w:lineRule="auto"/>
        <w:rPr>
          <w:rFonts w:ascii="Arial" w:hAnsi="Arial"/>
          <w:sz w:val="22"/>
        </w:rPr>
      </w:pPr>
      <w:r w:rsidRPr="00EC3875">
        <w:rPr>
          <w:rFonts w:ascii="Arial" w:hAnsi="Arial" w:cs="Arial"/>
          <w:sz w:val="22"/>
          <w:szCs w:val="22"/>
        </w:rPr>
        <w:br w:type="page"/>
      </w:r>
      <w:r w:rsidR="001322EE">
        <w:rPr>
          <w:rFonts w:ascii="Arial" w:hAnsi="Arial"/>
          <w:sz w:val="22"/>
        </w:rPr>
        <w:lastRenderedPageBreak/>
        <w:pict w14:anchorId="75F313E2">
          <v:shape id="_x0000_i1029" type="#_x0000_t75" style="width:431.5pt;height:209.2pt">
            <v:imagedata r:id="rId15" o:title=""/>
          </v:shape>
        </w:pict>
      </w:r>
    </w:p>
    <w:p w14:paraId="67852375" w14:textId="77777777" w:rsidR="00B17EF4" w:rsidRPr="00EC3875" w:rsidRDefault="00B17EF4" w:rsidP="00834472">
      <w:pPr>
        <w:widowControl w:val="0"/>
        <w:spacing w:line="240" w:lineRule="auto"/>
        <w:rPr>
          <w:rFonts w:ascii="Arial" w:hAnsi="Arial"/>
          <w:sz w:val="22"/>
        </w:rPr>
      </w:pPr>
      <w:r w:rsidRPr="00EC3875">
        <w:rPr>
          <w:rFonts w:ascii="Arial" w:hAnsi="Arial"/>
          <w:b/>
          <w:sz w:val="22"/>
        </w:rPr>
        <w:t xml:space="preserve">Figure 5: </w:t>
      </w:r>
      <w:r w:rsidRPr="00EC3875">
        <w:rPr>
          <w:rFonts w:ascii="Arial" w:hAnsi="Arial"/>
          <w:sz w:val="22"/>
        </w:rPr>
        <w:t>Effect of younger age at time of protocol enrollment and delay in HBO2 administration form time of injury on neurocognitive test score improvement.  Neurocognitive scores are expressed as the sum of average improvement in tests administered.</w:t>
      </w:r>
    </w:p>
    <w:p w14:paraId="79AE2BB2" w14:textId="77777777" w:rsidR="00B17EF4" w:rsidRPr="00EC3875" w:rsidRDefault="00B17EF4" w:rsidP="00AF6BDF">
      <w:pPr>
        <w:widowControl w:val="0"/>
        <w:spacing w:line="480" w:lineRule="auto"/>
        <w:rPr>
          <w:rFonts w:ascii="Arial" w:hAnsi="Arial"/>
          <w:sz w:val="22"/>
        </w:rPr>
      </w:pPr>
      <w:r w:rsidRPr="00EC3875">
        <w:rPr>
          <w:rFonts w:ascii="Arial" w:hAnsi="Arial"/>
          <w:sz w:val="22"/>
        </w:rPr>
        <w:br w:type="page"/>
      </w:r>
      <w:r w:rsidR="001322EE">
        <w:rPr>
          <w:noProof/>
        </w:rPr>
        <w:lastRenderedPageBreak/>
        <w:pict w14:anchorId="094EBFEA">
          <v:shape id="Chart 1" o:spid="_x0000_i1030" type="#_x0000_t75" style="width:363.65pt;height:224.3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">
            <v:imagedata r:id="rId16" o:title=""/>
            <o:lock v:ext="edit" aspectratio="f"/>
          </v:shape>
        </w:pict>
      </w:r>
    </w:p>
    <w:p w14:paraId="29CF56F5" w14:textId="77777777" w:rsidR="00B17EF4" w:rsidRPr="00EC3875" w:rsidRDefault="00B17EF4" w:rsidP="00834472">
      <w:pPr>
        <w:widowControl w:val="0"/>
        <w:spacing w:after="0" w:line="240" w:lineRule="auto"/>
        <w:rPr>
          <w:rFonts w:ascii="Arial" w:hAnsi="Arial"/>
          <w:sz w:val="22"/>
        </w:rPr>
      </w:pPr>
      <w:r w:rsidRPr="00EC3875">
        <w:rPr>
          <w:rFonts w:ascii="Arial" w:hAnsi="Arial"/>
          <w:b/>
          <w:sz w:val="22"/>
        </w:rPr>
        <w:t>Figure 6:</w:t>
      </w:r>
      <w:r w:rsidRPr="00EC3875">
        <w:rPr>
          <w:rFonts w:ascii="Arial" w:hAnsi="Arial"/>
          <w:sz w:val="22"/>
        </w:rPr>
        <w:t xml:space="preserve">  Average improvement in each subject’s neurocognitive test scores compared to number of HBO2 sessions received.  Each point in the graph represents one subject.  The line through the points is a best-fit, linear regression (y=0.5539x + 1.1863) of individual subjects who have undergone 35 and up to 82 hyperbaric oxygen treatments.  The trend line slope is 0.55; r = 0.3685, p = 0.038.</w:t>
      </w:r>
      <w:r w:rsidRPr="00EC3875">
        <w:t xml:space="preserve"> </w:t>
      </w:r>
    </w:p>
    <w:p w14:paraId="1247C242" w14:textId="77777777" w:rsidR="00B17EF4" w:rsidRPr="00EC3875" w:rsidRDefault="00B17EF4" w:rsidP="0086162D">
      <w:pPr>
        <w:widowControl w:val="0"/>
        <w:spacing w:line="480" w:lineRule="auto"/>
        <w:rPr>
          <w:rFonts w:ascii="Arial" w:hAnsi="Arial"/>
          <w:b/>
          <w:sz w:val="22"/>
        </w:rPr>
      </w:pPr>
      <w:r w:rsidRPr="00EC3875">
        <w:rPr>
          <w:rFonts w:ascii="Arial" w:hAnsi="Arial"/>
          <w:b/>
          <w:sz w:val="22"/>
        </w:rPr>
        <w:br w:type="page"/>
      </w:r>
    </w:p>
    <w:tbl>
      <w:tblPr>
        <w:tblW w:w="4049" w:type="dxa"/>
        <w:tblInd w:w="93" w:type="dxa"/>
        <w:tblLook w:val="0000" w:firstRow="0" w:lastRow="0" w:firstColumn="0" w:lastColumn="0" w:noHBand="0" w:noVBand="0"/>
      </w:tblPr>
      <w:tblGrid>
        <w:gridCol w:w="2809"/>
        <w:gridCol w:w="1240"/>
      </w:tblGrid>
      <w:tr w:rsidR="00B17EF4" w:rsidRPr="00EC3875" w14:paraId="3D2063C1" w14:textId="77777777" w:rsidTr="004543D4">
        <w:trPr>
          <w:trHeight w:val="270"/>
        </w:trPr>
        <w:tc>
          <w:tcPr>
            <w:tcW w:w="2809" w:type="dxa"/>
            <w:tcBorders>
              <w:top w:val="single" w:sz="8" w:space="0" w:color="auto"/>
              <w:left w:val="single" w:sz="8" w:space="0" w:color="auto"/>
              <w:bottom w:val="single" w:sz="8" w:space="0" w:color="auto"/>
              <w:right w:val="nil"/>
            </w:tcBorders>
            <w:shd w:val="clear" w:color="auto" w:fill="C0C0C0"/>
            <w:noWrap/>
            <w:vAlign w:val="bottom"/>
          </w:tcPr>
          <w:p w14:paraId="65F41BDE" w14:textId="77777777" w:rsidR="00B17EF4" w:rsidRPr="00EC3875" w:rsidRDefault="00B17EF4" w:rsidP="004543D4">
            <w:pPr>
              <w:jc w:val="center"/>
              <w:rPr>
                <w:rFonts w:ascii="Arial" w:eastAsia="Times New Roman" w:hAnsi="Arial" w:cs="Arial"/>
                <w:b/>
                <w:bCs/>
                <w:sz w:val="20"/>
                <w:szCs w:val="20"/>
              </w:rPr>
            </w:pPr>
            <w:r w:rsidRPr="00EC3875">
              <w:rPr>
                <w:rFonts w:ascii="Arial" w:eastAsia="Times New Roman" w:hAnsi="Arial" w:cs="Arial"/>
                <w:b/>
                <w:bCs/>
                <w:sz w:val="20"/>
                <w:szCs w:val="20"/>
              </w:rPr>
              <w:lastRenderedPageBreak/>
              <w:t>Variable</w:t>
            </w:r>
          </w:p>
        </w:tc>
        <w:tc>
          <w:tcPr>
            <w:tcW w:w="1240" w:type="dxa"/>
            <w:tcBorders>
              <w:top w:val="single" w:sz="8" w:space="0" w:color="auto"/>
              <w:left w:val="nil"/>
              <w:bottom w:val="single" w:sz="8" w:space="0" w:color="auto"/>
              <w:right w:val="single" w:sz="8" w:space="0" w:color="auto"/>
            </w:tcBorders>
            <w:shd w:val="clear" w:color="auto" w:fill="C0C0C0"/>
            <w:noWrap/>
            <w:vAlign w:val="bottom"/>
          </w:tcPr>
          <w:p w14:paraId="60DDEED6" w14:textId="77777777" w:rsidR="00B17EF4" w:rsidRPr="00EC3875" w:rsidRDefault="00B17EF4" w:rsidP="004543D4">
            <w:pPr>
              <w:jc w:val="center"/>
              <w:rPr>
                <w:rFonts w:ascii="Arial" w:eastAsia="Times New Roman" w:hAnsi="Arial" w:cs="Arial"/>
                <w:b/>
                <w:bCs/>
                <w:sz w:val="20"/>
                <w:szCs w:val="20"/>
              </w:rPr>
            </w:pPr>
            <w:r w:rsidRPr="00EC3875">
              <w:rPr>
                <w:rFonts w:ascii="Arial" w:eastAsia="Times New Roman" w:hAnsi="Arial" w:cs="Arial"/>
                <w:b/>
                <w:bCs/>
                <w:sz w:val="20"/>
                <w:szCs w:val="20"/>
              </w:rPr>
              <w:t>Value</w:t>
            </w:r>
          </w:p>
        </w:tc>
      </w:tr>
      <w:tr w:rsidR="00B17EF4" w:rsidRPr="00EC3875" w14:paraId="1D7FA165" w14:textId="77777777" w:rsidTr="004543D4">
        <w:trPr>
          <w:trHeight w:val="255"/>
        </w:trPr>
        <w:tc>
          <w:tcPr>
            <w:tcW w:w="2809" w:type="dxa"/>
            <w:tcBorders>
              <w:top w:val="nil"/>
              <w:left w:val="single" w:sz="8" w:space="0" w:color="auto"/>
              <w:bottom w:val="nil"/>
              <w:right w:val="nil"/>
            </w:tcBorders>
            <w:noWrap/>
            <w:vAlign w:val="bottom"/>
          </w:tcPr>
          <w:p w14:paraId="1E9FBF0D"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Etiology of injury</w:t>
            </w:r>
          </w:p>
        </w:tc>
        <w:tc>
          <w:tcPr>
            <w:tcW w:w="1240" w:type="dxa"/>
            <w:tcBorders>
              <w:top w:val="nil"/>
              <w:left w:val="nil"/>
              <w:bottom w:val="nil"/>
              <w:right w:val="single" w:sz="8" w:space="0" w:color="auto"/>
            </w:tcBorders>
            <w:noWrap/>
            <w:vAlign w:val="bottom"/>
          </w:tcPr>
          <w:p w14:paraId="71712AB0"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 </w:t>
            </w:r>
          </w:p>
        </w:tc>
      </w:tr>
      <w:tr w:rsidR="00B17EF4" w:rsidRPr="00EC3875" w14:paraId="414ECE2B" w14:textId="77777777" w:rsidTr="004543D4">
        <w:trPr>
          <w:trHeight w:val="255"/>
        </w:trPr>
        <w:tc>
          <w:tcPr>
            <w:tcW w:w="2809" w:type="dxa"/>
            <w:tcBorders>
              <w:top w:val="nil"/>
              <w:left w:val="single" w:sz="8" w:space="0" w:color="auto"/>
              <w:bottom w:val="nil"/>
              <w:right w:val="nil"/>
            </w:tcBorders>
            <w:noWrap/>
            <w:vAlign w:val="bottom"/>
          </w:tcPr>
          <w:p w14:paraId="445F521E"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    Blast</w:t>
            </w:r>
          </w:p>
        </w:tc>
        <w:tc>
          <w:tcPr>
            <w:tcW w:w="1240" w:type="dxa"/>
            <w:tcBorders>
              <w:top w:val="nil"/>
              <w:left w:val="nil"/>
              <w:bottom w:val="nil"/>
              <w:right w:val="single" w:sz="8" w:space="0" w:color="auto"/>
            </w:tcBorders>
            <w:noWrap/>
            <w:vAlign w:val="bottom"/>
          </w:tcPr>
          <w:p w14:paraId="17DE2C1B"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17 (53%)</w:t>
            </w:r>
          </w:p>
        </w:tc>
      </w:tr>
      <w:tr w:rsidR="00B17EF4" w:rsidRPr="00EC3875" w14:paraId="2751DF20" w14:textId="77777777" w:rsidTr="004543D4">
        <w:trPr>
          <w:trHeight w:val="255"/>
        </w:trPr>
        <w:tc>
          <w:tcPr>
            <w:tcW w:w="2809" w:type="dxa"/>
            <w:tcBorders>
              <w:top w:val="nil"/>
              <w:left w:val="single" w:sz="8" w:space="0" w:color="auto"/>
              <w:bottom w:val="nil"/>
              <w:right w:val="nil"/>
            </w:tcBorders>
            <w:noWrap/>
            <w:vAlign w:val="bottom"/>
          </w:tcPr>
          <w:p w14:paraId="0748109B"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    Blow</w:t>
            </w:r>
          </w:p>
        </w:tc>
        <w:tc>
          <w:tcPr>
            <w:tcW w:w="1240" w:type="dxa"/>
            <w:tcBorders>
              <w:top w:val="nil"/>
              <w:left w:val="nil"/>
              <w:bottom w:val="nil"/>
              <w:right w:val="single" w:sz="8" w:space="0" w:color="auto"/>
            </w:tcBorders>
            <w:noWrap/>
            <w:vAlign w:val="bottom"/>
          </w:tcPr>
          <w:p w14:paraId="72B1BAA2"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15 (47%)</w:t>
            </w:r>
          </w:p>
        </w:tc>
      </w:tr>
      <w:tr w:rsidR="00B17EF4" w:rsidRPr="00EC3875" w14:paraId="2608C94D" w14:textId="77777777" w:rsidTr="004543D4">
        <w:trPr>
          <w:trHeight w:val="270"/>
        </w:trPr>
        <w:tc>
          <w:tcPr>
            <w:tcW w:w="2809" w:type="dxa"/>
            <w:tcBorders>
              <w:top w:val="nil"/>
              <w:left w:val="single" w:sz="8" w:space="0" w:color="auto"/>
              <w:bottom w:val="nil"/>
              <w:right w:val="nil"/>
            </w:tcBorders>
            <w:noWrap/>
            <w:vAlign w:val="bottom"/>
          </w:tcPr>
          <w:p w14:paraId="0AE99549"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    Total</w:t>
            </w:r>
          </w:p>
        </w:tc>
        <w:tc>
          <w:tcPr>
            <w:tcW w:w="1240" w:type="dxa"/>
            <w:tcBorders>
              <w:top w:val="nil"/>
              <w:left w:val="nil"/>
              <w:bottom w:val="nil"/>
              <w:right w:val="single" w:sz="8" w:space="0" w:color="auto"/>
            </w:tcBorders>
            <w:noWrap/>
            <w:vAlign w:val="bottom"/>
          </w:tcPr>
          <w:p w14:paraId="3E10D003"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32 (100%)</w:t>
            </w:r>
          </w:p>
        </w:tc>
      </w:tr>
      <w:tr w:rsidR="00B17EF4" w:rsidRPr="00EC3875" w14:paraId="6103671F" w14:textId="77777777" w:rsidTr="004543D4">
        <w:trPr>
          <w:trHeight w:val="255"/>
        </w:trPr>
        <w:tc>
          <w:tcPr>
            <w:tcW w:w="2809" w:type="dxa"/>
            <w:tcBorders>
              <w:top w:val="single" w:sz="8" w:space="0" w:color="auto"/>
              <w:left w:val="single" w:sz="8" w:space="0" w:color="auto"/>
              <w:bottom w:val="single" w:sz="4" w:space="0" w:color="auto"/>
              <w:right w:val="single" w:sz="4" w:space="0" w:color="auto"/>
            </w:tcBorders>
            <w:shd w:val="clear" w:color="auto" w:fill="C0C0C0"/>
            <w:noWrap/>
            <w:vAlign w:val="bottom"/>
          </w:tcPr>
          <w:p w14:paraId="3A1F4A04"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Number of concussive injuries</w:t>
            </w:r>
          </w:p>
        </w:tc>
        <w:tc>
          <w:tcPr>
            <w:tcW w:w="1240" w:type="dxa"/>
            <w:tcBorders>
              <w:top w:val="single" w:sz="8" w:space="0" w:color="auto"/>
              <w:left w:val="nil"/>
              <w:bottom w:val="single" w:sz="4" w:space="0" w:color="auto"/>
              <w:right w:val="single" w:sz="8" w:space="0" w:color="auto"/>
            </w:tcBorders>
            <w:shd w:val="clear" w:color="auto" w:fill="C0C0C0"/>
            <w:noWrap/>
            <w:vAlign w:val="bottom"/>
          </w:tcPr>
          <w:p w14:paraId="5D675A63"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 </w:t>
            </w:r>
          </w:p>
        </w:tc>
      </w:tr>
      <w:tr w:rsidR="00B17EF4" w:rsidRPr="00EC3875" w14:paraId="0E9B5306" w14:textId="77777777" w:rsidTr="004543D4">
        <w:trPr>
          <w:trHeight w:val="255"/>
        </w:trPr>
        <w:tc>
          <w:tcPr>
            <w:tcW w:w="2809" w:type="dxa"/>
            <w:tcBorders>
              <w:top w:val="nil"/>
              <w:left w:val="single" w:sz="8" w:space="0" w:color="auto"/>
              <w:bottom w:val="single" w:sz="4" w:space="0" w:color="auto"/>
              <w:right w:val="single" w:sz="4" w:space="0" w:color="auto"/>
            </w:tcBorders>
            <w:shd w:val="clear" w:color="auto" w:fill="C0C0C0"/>
            <w:noWrap/>
            <w:vAlign w:val="bottom"/>
          </w:tcPr>
          <w:p w14:paraId="5A980453"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    Median</w:t>
            </w:r>
          </w:p>
        </w:tc>
        <w:tc>
          <w:tcPr>
            <w:tcW w:w="1240" w:type="dxa"/>
            <w:tcBorders>
              <w:top w:val="nil"/>
              <w:left w:val="nil"/>
              <w:bottom w:val="single" w:sz="4" w:space="0" w:color="auto"/>
              <w:right w:val="single" w:sz="8" w:space="0" w:color="auto"/>
            </w:tcBorders>
            <w:shd w:val="clear" w:color="auto" w:fill="C0C0C0"/>
            <w:noWrap/>
            <w:vAlign w:val="bottom"/>
          </w:tcPr>
          <w:p w14:paraId="14EACBDB"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1.81</w:t>
            </w:r>
            <w:r w:rsidRPr="00EC3875">
              <w:rPr>
                <w:rFonts w:ascii="Symbol" w:eastAsia="Times New Roman" w:hAnsi="Symbol" w:cs="Arial"/>
                <w:sz w:val="20"/>
                <w:szCs w:val="20"/>
              </w:rPr>
              <w:t></w:t>
            </w:r>
            <w:r w:rsidRPr="00EC3875">
              <w:rPr>
                <w:rFonts w:ascii="Symbol" w:eastAsia="Times New Roman" w:hAnsi="Symbol" w:cs="Arial"/>
                <w:sz w:val="20"/>
                <w:szCs w:val="20"/>
              </w:rPr>
              <w:t></w:t>
            </w:r>
            <w:r w:rsidRPr="00EC3875">
              <w:rPr>
                <w:rFonts w:ascii="Symbol" w:eastAsia="Times New Roman" w:hAnsi="Symbol" w:cs="Arial"/>
                <w:sz w:val="20"/>
                <w:szCs w:val="20"/>
              </w:rPr>
              <w:t></w:t>
            </w:r>
            <w:r w:rsidRPr="00EC3875">
              <w:rPr>
                <w:rFonts w:ascii="Symbol" w:eastAsia="Times New Roman" w:hAnsi="Symbol" w:cs="Arial"/>
                <w:sz w:val="20"/>
                <w:szCs w:val="20"/>
              </w:rPr>
              <w:t></w:t>
            </w:r>
            <w:r w:rsidRPr="00EC3875">
              <w:rPr>
                <w:rFonts w:ascii="Symbol" w:eastAsia="Times New Roman" w:hAnsi="Symbol" w:cs="Arial"/>
                <w:sz w:val="20"/>
                <w:szCs w:val="20"/>
              </w:rPr>
              <w:t></w:t>
            </w:r>
          </w:p>
        </w:tc>
      </w:tr>
      <w:tr w:rsidR="00B17EF4" w:rsidRPr="00EC3875" w14:paraId="7F664067" w14:textId="77777777" w:rsidTr="004543D4">
        <w:trPr>
          <w:trHeight w:val="270"/>
        </w:trPr>
        <w:tc>
          <w:tcPr>
            <w:tcW w:w="2809" w:type="dxa"/>
            <w:tcBorders>
              <w:top w:val="nil"/>
              <w:left w:val="single" w:sz="8" w:space="0" w:color="auto"/>
              <w:bottom w:val="single" w:sz="8" w:space="0" w:color="auto"/>
              <w:right w:val="single" w:sz="4" w:space="0" w:color="auto"/>
            </w:tcBorders>
            <w:shd w:val="clear" w:color="auto" w:fill="C0C0C0"/>
            <w:noWrap/>
            <w:vAlign w:val="bottom"/>
          </w:tcPr>
          <w:p w14:paraId="77CCC513"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    Range</w:t>
            </w:r>
          </w:p>
        </w:tc>
        <w:tc>
          <w:tcPr>
            <w:tcW w:w="1240" w:type="dxa"/>
            <w:tcBorders>
              <w:top w:val="nil"/>
              <w:left w:val="nil"/>
              <w:bottom w:val="single" w:sz="8" w:space="0" w:color="auto"/>
              <w:right w:val="single" w:sz="8" w:space="0" w:color="auto"/>
            </w:tcBorders>
            <w:shd w:val="clear" w:color="auto" w:fill="C0C0C0"/>
            <w:noWrap/>
            <w:vAlign w:val="bottom"/>
          </w:tcPr>
          <w:p w14:paraId="05B15714"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1-7</w:t>
            </w:r>
          </w:p>
        </w:tc>
      </w:tr>
      <w:tr w:rsidR="00B17EF4" w:rsidRPr="00EC3875" w14:paraId="70736C37" w14:textId="77777777" w:rsidTr="004543D4">
        <w:trPr>
          <w:trHeight w:val="255"/>
        </w:trPr>
        <w:tc>
          <w:tcPr>
            <w:tcW w:w="2809" w:type="dxa"/>
            <w:tcBorders>
              <w:top w:val="nil"/>
              <w:left w:val="single" w:sz="8" w:space="0" w:color="auto"/>
              <w:bottom w:val="single" w:sz="4" w:space="0" w:color="auto"/>
              <w:right w:val="single" w:sz="4" w:space="0" w:color="auto"/>
            </w:tcBorders>
            <w:shd w:val="clear" w:color="auto" w:fill="FFFFFF"/>
            <w:noWrap/>
            <w:vAlign w:val="bottom"/>
          </w:tcPr>
          <w:p w14:paraId="10C19AB8"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Age at injury </w:t>
            </w:r>
          </w:p>
        </w:tc>
        <w:tc>
          <w:tcPr>
            <w:tcW w:w="1240" w:type="dxa"/>
            <w:tcBorders>
              <w:top w:val="nil"/>
              <w:left w:val="nil"/>
              <w:bottom w:val="single" w:sz="4" w:space="0" w:color="auto"/>
              <w:right w:val="single" w:sz="8" w:space="0" w:color="auto"/>
            </w:tcBorders>
            <w:shd w:val="clear" w:color="auto" w:fill="FFFFFF"/>
            <w:noWrap/>
            <w:vAlign w:val="bottom"/>
          </w:tcPr>
          <w:p w14:paraId="6E593C83"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 </w:t>
            </w:r>
          </w:p>
        </w:tc>
      </w:tr>
      <w:tr w:rsidR="00B17EF4" w:rsidRPr="00EC3875" w14:paraId="4FD317F5" w14:textId="77777777" w:rsidTr="004543D4">
        <w:trPr>
          <w:trHeight w:val="255"/>
        </w:trPr>
        <w:tc>
          <w:tcPr>
            <w:tcW w:w="2809" w:type="dxa"/>
            <w:tcBorders>
              <w:top w:val="nil"/>
              <w:left w:val="single" w:sz="8" w:space="0" w:color="auto"/>
              <w:bottom w:val="single" w:sz="4" w:space="0" w:color="auto"/>
              <w:right w:val="single" w:sz="4" w:space="0" w:color="auto"/>
            </w:tcBorders>
            <w:shd w:val="clear" w:color="auto" w:fill="FFFFFF"/>
            <w:noWrap/>
            <w:vAlign w:val="bottom"/>
          </w:tcPr>
          <w:p w14:paraId="170B7949"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    Median (yrs)</w:t>
            </w:r>
          </w:p>
        </w:tc>
        <w:tc>
          <w:tcPr>
            <w:tcW w:w="1240" w:type="dxa"/>
            <w:tcBorders>
              <w:top w:val="nil"/>
              <w:left w:val="nil"/>
              <w:bottom w:val="single" w:sz="4" w:space="0" w:color="auto"/>
              <w:right w:val="single" w:sz="8" w:space="0" w:color="auto"/>
            </w:tcBorders>
            <w:shd w:val="clear" w:color="auto" w:fill="FFFFFF"/>
            <w:noWrap/>
            <w:vAlign w:val="bottom"/>
          </w:tcPr>
          <w:p w14:paraId="2E38B060"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30.5 ±11.6</w:t>
            </w:r>
          </w:p>
        </w:tc>
      </w:tr>
      <w:tr w:rsidR="00B17EF4" w:rsidRPr="00EC3875" w14:paraId="3D7E4B02" w14:textId="77777777" w:rsidTr="004543D4">
        <w:trPr>
          <w:trHeight w:val="270"/>
        </w:trPr>
        <w:tc>
          <w:tcPr>
            <w:tcW w:w="2809" w:type="dxa"/>
            <w:tcBorders>
              <w:top w:val="nil"/>
              <w:left w:val="single" w:sz="8" w:space="0" w:color="auto"/>
              <w:bottom w:val="single" w:sz="8" w:space="0" w:color="auto"/>
              <w:right w:val="single" w:sz="4" w:space="0" w:color="auto"/>
            </w:tcBorders>
            <w:shd w:val="clear" w:color="auto" w:fill="FFFFFF"/>
            <w:noWrap/>
            <w:vAlign w:val="bottom"/>
          </w:tcPr>
          <w:p w14:paraId="704AFDF9"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    Range (yrs)</w:t>
            </w:r>
          </w:p>
        </w:tc>
        <w:tc>
          <w:tcPr>
            <w:tcW w:w="1240" w:type="dxa"/>
            <w:tcBorders>
              <w:top w:val="nil"/>
              <w:left w:val="nil"/>
              <w:bottom w:val="single" w:sz="8" w:space="0" w:color="auto"/>
              <w:right w:val="single" w:sz="8" w:space="0" w:color="auto"/>
            </w:tcBorders>
            <w:shd w:val="clear" w:color="auto" w:fill="FFFFFF"/>
            <w:noWrap/>
            <w:vAlign w:val="bottom"/>
          </w:tcPr>
          <w:p w14:paraId="07FE2FD9"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7-60</w:t>
            </w:r>
          </w:p>
        </w:tc>
      </w:tr>
      <w:tr w:rsidR="00B17EF4" w:rsidRPr="00EC3875" w14:paraId="6D662B54" w14:textId="77777777" w:rsidTr="004543D4">
        <w:trPr>
          <w:trHeight w:val="255"/>
        </w:trPr>
        <w:tc>
          <w:tcPr>
            <w:tcW w:w="2809" w:type="dxa"/>
            <w:tcBorders>
              <w:top w:val="nil"/>
              <w:left w:val="single" w:sz="8" w:space="0" w:color="auto"/>
              <w:bottom w:val="single" w:sz="4" w:space="0" w:color="auto"/>
              <w:right w:val="single" w:sz="4" w:space="0" w:color="auto"/>
            </w:tcBorders>
            <w:shd w:val="clear" w:color="auto" w:fill="C0C0C0"/>
            <w:noWrap/>
            <w:vAlign w:val="bottom"/>
          </w:tcPr>
          <w:p w14:paraId="311067E4"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Age at protocol enrollment</w:t>
            </w:r>
          </w:p>
        </w:tc>
        <w:tc>
          <w:tcPr>
            <w:tcW w:w="1240" w:type="dxa"/>
            <w:tcBorders>
              <w:top w:val="nil"/>
              <w:left w:val="nil"/>
              <w:bottom w:val="single" w:sz="4" w:space="0" w:color="auto"/>
              <w:right w:val="single" w:sz="8" w:space="0" w:color="auto"/>
            </w:tcBorders>
            <w:shd w:val="clear" w:color="auto" w:fill="C0C0C0"/>
            <w:noWrap/>
            <w:vAlign w:val="bottom"/>
          </w:tcPr>
          <w:p w14:paraId="5D6E5956"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 </w:t>
            </w:r>
          </w:p>
        </w:tc>
      </w:tr>
      <w:tr w:rsidR="00B17EF4" w:rsidRPr="00EC3875" w14:paraId="72137236" w14:textId="77777777" w:rsidTr="004543D4">
        <w:trPr>
          <w:trHeight w:val="255"/>
        </w:trPr>
        <w:tc>
          <w:tcPr>
            <w:tcW w:w="2809" w:type="dxa"/>
            <w:tcBorders>
              <w:top w:val="nil"/>
              <w:left w:val="single" w:sz="8" w:space="0" w:color="auto"/>
              <w:bottom w:val="single" w:sz="4" w:space="0" w:color="auto"/>
              <w:right w:val="single" w:sz="4" w:space="0" w:color="auto"/>
            </w:tcBorders>
            <w:shd w:val="clear" w:color="auto" w:fill="C0C0C0"/>
            <w:noWrap/>
            <w:vAlign w:val="bottom"/>
          </w:tcPr>
          <w:p w14:paraId="039935B9"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  Median (yrs)</w:t>
            </w:r>
          </w:p>
        </w:tc>
        <w:tc>
          <w:tcPr>
            <w:tcW w:w="1240" w:type="dxa"/>
            <w:tcBorders>
              <w:top w:val="nil"/>
              <w:left w:val="nil"/>
              <w:bottom w:val="single" w:sz="4" w:space="0" w:color="auto"/>
              <w:right w:val="single" w:sz="8" w:space="0" w:color="auto"/>
            </w:tcBorders>
            <w:shd w:val="clear" w:color="auto" w:fill="C0C0C0"/>
            <w:noWrap/>
            <w:vAlign w:val="bottom"/>
          </w:tcPr>
          <w:p w14:paraId="27AEA598"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39.5±14.1</w:t>
            </w:r>
          </w:p>
        </w:tc>
      </w:tr>
      <w:tr w:rsidR="00B17EF4" w:rsidRPr="00EC3875" w14:paraId="775987A9" w14:textId="77777777" w:rsidTr="004543D4">
        <w:trPr>
          <w:trHeight w:val="270"/>
        </w:trPr>
        <w:tc>
          <w:tcPr>
            <w:tcW w:w="2809" w:type="dxa"/>
            <w:tcBorders>
              <w:top w:val="nil"/>
              <w:left w:val="single" w:sz="8" w:space="0" w:color="auto"/>
              <w:bottom w:val="single" w:sz="8" w:space="0" w:color="auto"/>
              <w:right w:val="single" w:sz="4" w:space="0" w:color="auto"/>
            </w:tcBorders>
            <w:shd w:val="clear" w:color="auto" w:fill="C0C0C0"/>
            <w:noWrap/>
            <w:vAlign w:val="bottom"/>
          </w:tcPr>
          <w:p w14:paraId="6F117215"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  Range (yrs)</w:t>
            </w:r>
          </w:p>
        </w:tc>
        <w:tc>
          <w:tcPr>
            <w:tcW w:w="1240" w:type="dxa"/>
            <w:tcBorders>
              <w:top w:val="nil"/>
              <w:left w:val="nil"/>
              <w:bottom w:val="single" w:sz="8" w:space="0" w:color="auto"/>
              <w:right w:val="single" w:sz="8" w:space="0" w:color="auto"/>
            </w:tcBorders>
            <w:shd w:val="clear" w:color="auto" w:fill="C0C0C0"/>
            <w:noWrap/>
            <w:vAlign w:val="bottom"/>
          </w:tcPr>
          <w:p w14:paraId="0B528233"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22-65</w:t>
            </w:r>
          </w:p>
        </w:tc>
      </w:tr>
      <w:tr w:rsidR="00B17EF4" w:rsidRPr="00EC3875" w14:paraId="40ADA1A3" w14:textId="77777777" w:rsidTr="004543D4">
        <w:trPr>
          <w:trHeight w:val="255"/>
        </w:trPr>
        <w:tc>
          <w:tcPr>
            <w:tcW w:w="2809" w:type="dxa"/>
            <w:tcBorders>
              <w:top w:val="nil"/>
              <w:left w:val="single" w:sz="8" w:space="0" w:color="auto"/>
              <w:bottom w:val="single" w:sz="4" w:space="0" w:color="auto"/>
              <w:right w:val="single" w:sz="4" w:space="0" w:color="auto"/>
            </w:tcBorders>
            <w:shd w:val="clear" w:color="auto" w:fill="FFFFFF"/>
            <w:noWrap/>
            <w:vAlign w:val="bottom"/>
          </w:tcPr>
          <w:p w14:paraId="40B653E2"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Delay from injury to HBOT start</w:t>
            </w:r>
          </w:p>
        </w:tc>
        <w:tc>
          <w:tcPr>
            <w:tcW w:w="1240" w:type="dxa"/>
            <w:tcBorders>
              <w:top w:val="nil"/>
              <w:left w:val="nil"/>
              <w:bottom w:val="single" w:sz="4" w:space="0" w:color="auto"/>
              <w:right w:val="single" w:sz="8" w:space="0" w:color="auto"/>
            </w:tcBorders>
            <w:shd w:val="clear" w:color="auto" w:fill="FFFFFF"/>
            <w:noWrap/>
            <w:vAlign w:val="bottom"/>
          </w:tcPr>
          <w:p w14:paraId="2DBCD7C0"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 </w:t>
            </w:r>
          </w:p>
        </w:tc>
      </w:tr>
      <w:tr w:rsidR="00B17EF4" w:rsidRPr="00EC3875" w14:paraId="67888507" w14:textId="77777777" w:rsidTr="004543D4">
        <w:trPr>
          <w:trHeight w:val="255"/>
        </w:trPr>
        <w:tc>
          <w:tcPr>
            <w:tcW w:w="2809" w:type="dxa"/>
            <w:tcBorders>
              <w:top w:val="nil"/>
              <w:left w:val="single" w:sz="8" w:space="0" w:color="auto"/>
              <w:bottom w:val="single" w:sz="4" w:space="0" w:color="auto"/>
              <w:right w:val="single" w:sz="4" w:space="0" w:color="auto"/>
            </w:tcBorders>
            <w:shd w:val="clear" w:color="auto" w:fill="FFFFFF"/>
            <w:noWrap/>
            <w:vAlign w:val="bottom"/>
          </w:tcPr>
          <w:p w14:paraId="601ECF97"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    Median (yrs)</w:t>
            </w:r>
          </w:p>
        </w:tc>
        <w:tc>
          <w:tcPr>
            <w:tcW w:w="1240" w:type="dxa"/>
            <w:tcBorders>
              <w:top w:val="nil"/>
              <w:left w:val="nil"/>
              <w:bottom w:val="single" w:sz="4" w:space="0" w:color="auto"/>
              <w:right w:val="single" w:sz="8" w:space="0" w:color="auto"/>
            </w:tcBorders>
            <w:shd w:val="clear" w:color="auto" w:fill="FFFFFF"/>
            <w:noWrap/>
            <w:vAlign w:val="bottom"/>
          </w:tcPr>
          <w:p w14:paraId="190ECAD8"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8.7±12.7</w:t>
            </w:r>
          </w:p>
        </w:tc>
      </w:tr>
      <w:tr w:rsidR="00B17EF4" w:rsidRPr="00EC3875" w14:paraId="4ED9FDA2" w14:textId="77777777" w:rsidTr="004543D4">
        <w:trPr>
          <w:trHeight w:val="270"/>
        </w:trPr>
        <w:tc>
          <w:tcPr>
            <w:tcW w:w="2809" w:type="dxa"/>
            <w:tcBorders>
              <w:top w:val="nil"/>
              <w:left w:val="single" w:sz="8" w:space="0" w:color="auto"/>
              <w:bottom w:val="single" w:sz="8" w:space="0" w:color="auto"/>
              <w:right w:val="single" w:sz="4" w:space="0" w:color="auto"/>
            </w:tcBorders>
            <w:shd w:val="clear" w:color="auto" w:fill="FFFFFF"/>
            <w:noWrap/>
            <w:vAlign w:val="bottom"/>
          </w:tcPr>
          <w:p w14:paraId="7B643F19"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    Range (yrs)</w:t>
            </w:r>
          </w:p>
        </w:tc>
        <w:tc>
          <w:tcPr>
            <w:tcW w:w="1240" w:type="dxa"/>
            <w:tcBorders>
              <w:top w:val="nil"/>
              <w:left w:val="nil"/>
              <w:bottom w:val="single" w:sz="8" w:space="0" w:color="auto"/>
              <w:right w:val="single" w:sz="8" w:space="0" w:color="auto"/>
            </w:tcBorders>
            <w:shd w:val="clear" w:color="auto" w:fill="FFFFFF"/>
            <w:noWrap/>
            <w:vAlign w:val="bottom"/>
          </w:tcPr>
          <w:p w14:paraId="4FD58EF4"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0.15-45.8</w:t>
            </w:r>
          </w:p>
        </w:tc>
      </w:tr>
      <w:tr w:rsidR="00B17EF4" w:rsidRPr="00EC3875" w14:paraId="5CDC6E4C" w14:textId="77777777" w:rsidTr="004543D4">
        <w:trPr>
          <w:trHeight w:val="255"/>
        </w:trPr>
        <w:tc>
          <w:tcPr>
            <w:tcW w:w="2809" w:type="dxa"/>
            <w:tcBorders>
              <w:top w:val="nil"/>
              <w:left w:val="single" w:sz="8" w:space="0" w:color="auto"/>
              <w:bottom w:val="single" w:sz="4" w:space="0" w:color="auto"/>
              <w:right w:val="single" w:sz="4" w:space="0" w:color="auto"/>
            </w:tcBorders>
            <w:shd w:val="clear" w:color="auto" w:fill="C0C0C0"/>
            <w:noWrap/>
            <w:vAlign w:val="bottom"/>
          </w:tcPr>
          <w:p w14:paraId="1BE40546"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Duration of HBOT</w:t>
            </w:r>
          </w:p>
        </w:tc>
        <w:tc>
          <w:tcPr>
            <w:tcW w:w="1240" w:type="dxa"/>
            <w:tcBorders>
              <w:top w:val="nil"/>
              <w:left w:val="nil"/>
              <w:bottom w:val="single" w:sz="4" w:space="0" w:color="auto"/>
              <w:right w:val="single" w:sz="8" w:space="0" w:color="auto"/>
            </w:tcBorders>
            <w:shd w:val="clear" w:color="auto" w:fill="C0C0C0"/>
            <w:noWrap/>
            <w:vAlign w:val="bottom"/>
          </w:tcPr>
          <w:p w14:paraId="15AB049B"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 </w:t>
            </w:r>
          </w:p>
        </w:tc>
      </w:tr>
      <w:tr w:rsidR="00B17EF4" w:rsidRPr="00EC3875" w14:paraId="7E537E62" w14:textId="77777777" w:rsidTr="004543D4">
        <w:trPr>
          <w:trHeight w:val="255"/>
        </w:trPr>
        <w:tc>
          <w:tcPr>
            <w:tcW w:w="2809" w:type="dxa"/>
            <w:tcBorders>
              <w:top w:val="nil"/>
              <w:left w:val="single" w:sz="8" w:space="0" w:color="auto"/>
              <w:bottom w:val="single" w:sz="4" w:space="0" w:color="auto"/>
              <w:right w:val="single" w:sz="4" w:space="0" w:color="auto"/>
            </w:tcBorders>
            <w:shd w:val="clear" w:color="auto" w:fill="C0C0C0"/>
            <w:noWrap/>
            <w:vAlign w:val="bottom"/>
          </w:tcPr>
          <w:p w14:paraId="0F803819"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    Median (days)</w:t>
            </w:r>
          </w:p>
        </w:tc>
        <w:tc>
          <w:tcPr>
            <w:tcW w:w="1240" w:type="dxa"/>
            <w:tcBorders>
              <w:top w:val="nil"/>
              <w:left w:val="nil"/>
              <w:bottom w:val="single" w:sz="4" w:space="0" w:color="auto"/>
              <w:right w:val="single" w:sz="8" w:space="0" w:color="auto"/>
            </w:tcBorders>
            <w:shd w:val="clear" w:color="auto" w:fill="C0C0C0"/>
            <w:noWrap/>
            <w:vAlign w:val="bottom"/>
          </w:tcPr>
          <w:p w14:paraId="44F4CC6E"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107±56</w:t>
            </w:r>
          </w:p>
        </w:tc>
      </w:tr>
      <w:tr w:rsidR="00B17EF4" w:rsidRPr="00EC3875" w14:paraId="10C7FE6A" w14:textId="77777777" w:rsidTr="004543D4">
        <w:trPr>
          <w:trHeight w:val="270"/>
        </w:trPr>
        <w:tc>
          <w:tcPr>
            <w:tcW w:w="2809" w:type="dxa"/>
            <w:tcBorders>
              <w:top w:val="nil"/>
              <w:left w:val="single" w:sz="8" w:space="0" w:color="auto"/>
              <w:bottom w:val="single" w:sz="8" w:space="0" w:color="auto"/>
              <w:right w:val="single" w:sz="4" w:space="0" w:color="auto"/>
            </w:tcBorders>
            <w:shd w:val="clear" w:color="auto" w:fill="C0C0C0"/>
            <w:noWrap/>
            <w:vAlign w:val="bottom"/>
          </w:tcPr>
          <w:p w14:paraId="6424816A"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    Range (days)</w:t>
            </w:r>
          </w:p>
        </w:tc>
        <w:tc>
          <w:tcPr>
            <w:tcW w:w="1240" w:type="dxa"/>
            <w:tcBorders>
              <w:top w:val="nil"/>
              <w:left w:val="nil"/>
              <w:bottom w:val="single" w:sz="8" w:space="0" w:color="auto"/>
              <w:right w:val="single" w:sz="8" w:space="0" w:color="auto"/>
            </w:tcBorders>
            <w:shd w:val="clear" w:color="auto" w:fill="C0C0C0"/>
            <w:noWrap/>
            <w:vAlign w:val="bottom"/>
          </w:tcPr>
          <w:p w14:paraId="6785BD9C"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26-304</w:t>
            </w:r>
          </w:p>
        </w:tc>
      </w:tr>
      <w:tr w:rsidR="00B17EF4" w:rsidRPr="00EC3875" w14:paraId="1CD07DF4" w14:textId="77777777" w:rsidTr="004543D4">
        <w:trPr>
          <w:trHeight w:val="255"/>
        </w:trPr>
        <w:tc>
          <w:tcPr>
            <w:tcW w:w="2809" w:type="dxa"/>
            <w:tcBorders>
              <w:top w:val="nil"/>
              <w:left w:val="single" w:sz="8" w:space="0" w:color="auto"/>
              <w:bottom w:val="single" w:sz="4" w:space="0" w:color="auto"/>
              <w:right w:val="single" w:sz="4" w:space="0" w:color="auto"/>
            </w:tcBorders>
            <w:shd w:val="clear" w:color="auto" w:fill="FFFFFF"/>
            <w:noWrap/>
            <w:vAlign w:val="bottom"/>
          </w:tcPr>
          <w:p w14:paraId="6377DBD5"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No. of HBOT</w:t>
            </w:r>
          </w:p>
        </w:tc>
        <w:tc>
          <w:tcPr>
            <w:tcW w:w="1240" w:type="dxa"/>
            <w:tcBorders>
              <w:top w:val="nil"/>
              <w:left w:val="nil"/>
              <w:bottom w:val="single" w:sz="4" w:space="0" w:color="auto"/>
              <w:right w:val="single" w:sz="8" w:space="0" w:color="auto"/>
            </w:tcBorders>
            <w:shd w:val="clear" w:color="auto" w:fill="FFFFFF"/>
            <w:noWrap/>
            <w:vAlign w:val="bottom"/>
          </w:tcPr>
          <w:p w14:paraId="0839647B"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 </w:t>
            </w:r>
          </w:p>
        </w:tc>
      </w:tr>
      <w:tr w:rsidR="00B17EF4" w:rsidRPr="00EC3875" w14:paraId="695B277D" w14:textId="77777777" w:rsidTr="004543D4">
        <w:trPr>
          <w:trHeight w:val="255"/>
        </w:trPr>
        <w:tc>
          <w:tcPr>
            <w:tcW w:w="2809" w:type="dxa"/>
            <w:tcBorders>
              <w:top w:val="nil"/>
              <w:left w:val="single" w:sz="8" w:space="0" w:color="auto"/>
              <w:bottom w:val="single" w:sz="4" w:space="0" w:color="auto"/>
              <w:right w:val="single" w:sz="4" w:space="0" w:color="auto"/>
            </w:tcBorders>
            <w:shd w:val="clear" w:color="auto" w:fill="FFFFFF"/>
            <w:noWrap/>
            <w:vAlign w:val="bottom"/>
          </w:tcPr>
          <w:p w14:paraId="057CC71F"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    Median</w:t>
            </w:r>
          </w:p>
        </w:tc>
        <w:tc>
          <w:tcPr>
            <w:tcW w:w="1240" w:type="dxa"/>
            <w:tcBorders>
              <w:top w:val="nil"/>
              <w:left w:val="nil"/>
              <w:bottom w:val="single" w:sz="4" w:space="0" w:color="auto"/>
              <w:right w:val="single" w:sz="8" w:space="0" w:color="auto"/>
            </w:tcBorders>
            <w:shd w:val="clear" w:color="auto" w:fill="FFFFFF"/>
            <w:noWrap/>
            <w:vAlign w:val="bottom"/>
          </w:tcPr>
          <w:p w14:paraId="1EEF9CB2"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55.3±18.4</w:t>
            </w:r>
          </w:p>
        </w:tc>
      </w:tr>
      <w:tr w:rsidR="00B17EF4" w:rsidRPr="00EC3875" w14:paraId="6BEAF250" w14:textId="77777777" w:rsidTr="004543D4">
        <w:trPr>
          <w:trHeight w:val="270"/>
        </w:trPr>
        <w:tc>
          <w:tcPr>
            <w:tcW w:w="2809" w:type="dxa"/>
            <w:tcBorders>
              <w:top w:val="nil"/>
              <w:left w:val="single" w:sz="8" w:space="0" w:color="auto"/>
              <w:bottom w:val="single" w:sz="8" w:space="0" w:color="auto"/>
              <w:right w:val="single" w:sz="4" w:space="0" w:color="auto"/>
            </w:tcBorders>
            <w:shd w:val="clear" w:color="auto" w:fill="FFFFFF"/>
            <w:noWrap/>
            <w:vAlign w:val="bottom"/>
          </w:tcPr>
          <w:p w14:paraId="6906C38B"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    Range</w:t>
            </w:r>
          </w:p>
        </w:tc>
        <w:tc>
          <w:tcPr>
            <w:tcW w:w="1240" w:type="dxa"/>
            <w:tcBorders>
              <w:top w:val="nil"/>
              <w:left w:val="nil"/>
              <w:bottom w:val="single" w:sz="8" w:space="0" w:color="auto"/>
              <w:right w:val="single" w:sz="8" w:space="0" w:color="auto"/>
            </w:tcBorders>
            <w:shd w:val="clear" w:color="auto" w:fill="FFFFFF"/>
            <w:noWrap/>
            <w:vAlign w:val="bottom"/>
          </w:tcPr>
          <w:p w14:paraId="4388A33B"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35-82</w:t>
            </w:r>
          </w:p>
        </w:tc>
      </w:tr>
      <w:tr w:rsidR="00B17EF4" w:rsidRPr="00EC3875" w14:paraId="6ADE7023" w14:textId="77777777" w:rsidTr="004543D4">
        <w:trPr>
          <w:trHeight w:val="255"/>
        </w:trPr>
        <w:tc>
          <w:tcPr>
            <w:tcW w:w="2809" w:type="dxa"/>
            <w:tcBorders>
              <w:top w:val="nil"/>
              <w:left w:val="single" w:sz="8" w:space="0" w:color="auto"/>
              <w:bottom w:val="single" w:sz="4" w:space="0" w:color="auto"/>
              <w:right w:val="single" w:sz="4" w:space="0" w:color="auto"/>
            </w:tcBorders>
            <w:shd w:val="clear" w:color="auto" w:fill="C0C0C0"/>
            <w:noWrap/>
            <w:vAlign w:val="bottom"/>
          </w:tcPr>
          <w:p w14:paraId="2F5EC5C6"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Diagnosis</w:t>
            </w:r>
          </w:p>
        </w:tc>
        <w:tc>
          <w:tcPr>
            <w:tcW w:w="1240" w:type="dxa"/>
            <w:tcBorders>
              <w:top w:val="nil"/>
              <w:left w:val="nil"/>
              <w:bottom w:val="single" w:sz="4" w:space="0" w:color="auto"/>
              <w:right w:val="single" w:sz="8" w:space="0" w:color="auto"/>
            </w:tcBorders>
            <w:shd w:val="clear" w:color="auto" w:fill="C0C0C0"/>
            <w:noWrap/>
            <w:vAlign w:val="bottom"/>
          </w:tcPr>
          <w:p w14:paraId="61D6072F"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 </w:t>
            </w:r>
          </w:p>
        </w:tc>
      </w:tr>
      <w:tr w:rsidR="00B17EF4" w:rsidRPr="00EC3875" w14:paraId="73BA0BB9" w14:textId="77777777" w:rsidTr="004543D4">
        <w:trPr>
          <w:trHeight w:val="255"/>
        </w:trPr>
        <w:tc>
          <w:tcPr>
            <w:tcW w:w="2809" w:type="dxa"/>
            <w:tcBorders>
              <w:top w:val="nil"/>
              <w:left w:val="single" w:sz="8" w:space="0" w:color="auto"/>
              <w:bottom w:val="single" w:sz="4" w:space="0" w:color="auto"/>
              <w:right w:val="single" w:sz="4" w:space="0" w:color="auto"/>
            </w:tcBorders>
            <w:shd w:val="clear" w:color="auto" w:fill="C0C0C0"/>
            <w:noWrap/>
            <w:vAlign w:val="bottom"/>
          </w:tcPr>
          <w:p w14:paraId="7280D54A"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t xml:space="preserve">    TBI only</w:t>
            </w:r>
          </w:p>
        </w:tc>
        <w:tc>
          <w:tcPr>
            <w:tcW w:w="1240" w:type="dxa"/>
            <w:tcBorders>
              <w:top w:val="nil"/>
              <w:left w:val="nil"/>
              <w:bottom w:val="single" w:sz="4" w:space="0" w:color="auto"/>
              <w:right w:val="single" w:sz="8" w:space="0" w:color="auto"/>
            </w:tcBorders>
            <w:shd w:val="clear" w:color="auto" w:fill="C0C0C0"/>
            <w:noWrap/>
            <w:vAlign w:val="bottom"/>
          </w:tcPr>
          <w:p w14:paraId="53836B59"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25</w:t>
            </w:r>
          </w:p>
        </w:tc>
      </w:tr>
      <w:tr w:rsidR="00B17EF4" w:rsidRPr="00EC3875" w14:paraId="6E377E21" w14:textId="77777777" w:rsidTr="004543D4">
        <w:trPr>
          <w:trHeight w:val="270"/>
        </w:trPr>
        <w:tc>
          <w:tcPr>
            <w:tcW w:w="2809" w:type="dxa"/>
            <w:tcBorders>
              <w:top w:val="nil"/>
              <w:left w:val="single" w:sz="8" w:space="0" w:color="auto"/>
              <w:bottom w:val="single" w:sz="8" w:space="0" w:color="auto"/>
              <w:right w:val="single" w:sz="4" w:space="0" w:color="auto"/>
            </w:tcBorders>
            <w:shd w:val="clear" w:color="auto" w:fill="C0C0C0"/>
            <w:noWrap/>
            <w:vAlign w:val="bottom"/>
          </w:tcPr>
          <w:p w14:paraId="4360A29B" w14:textId="77777777" w:rsidR="00B17EF4" w:rsidRPr="00EC3875" w:rsidRDefault="00B17EF4" w:rsidP="004543D4">
            <w:pPr>
              <w:rPr>
                <w:rFonts w:ascii="Arial" w:eastAsia="Times New Roman" w:hAnsi="Arial" w:cs="Arial"/>
                <w:sz w:val="20"/>
                <w:szCs w:val="20"/>
              </w:rPr>
            </w:pPr>
            <w:r w:rsidRPr="00EC3875">
              <w:rPr>
                <w:rFonts w:ascii="Arial" w:eastAsia="Times New Roman" w:hAnsi="Arial" w:cs="Arial"/>
                <w:sz w:val="20"/>
                <w:szCs w:val="20"/>
              </w:rPr>
              <w:lastRenderedPageBreak/>
              <w:t xml:space="preserve">    TBI + PTSD</w:t>
            </w:r>
          </w:p>
        </w:tc>
        <w:tc>
          <w:tcPr>
            <w:tcW w:w="1240" w:type="dxa"/>
            <w:tcBorders>
              <w:top w:val="nil"/>
              <w:left w:val="nil"/>
              <w:bottom w:val="single" w:sz="8" w:space="0" w:color="auto"/>
              <w:right w:val="single" w:sz="8" w:space="0" w:color="auto"/>
            </w:tcBorders>
            <w:shd w:val="clear" w:color="auto" w:fill="C0C0C0"/>
            <w:noWrap/>
            <w:vAlign w:val="bottom"/>
          </w:tcPr>
          <w:p w14:paraId="6D4AEB73" w14:textId="77777777" w:rsidR="00B17EF4" w:rsidRPr="00EC3875" w:rsidRDefault="00B17EF4" w:rsidP="004543D4">
            <w:pPr>
              <w:jc w:val="center"/>
              <w:rPr>
                <w:rFonts w:ascii="Arial" w:eastAsia="Times New Roman" w:hAnsi="Arial" w:cs="Arial"/>
                <w:sz w:val="20"/>
                <w:szCs w:val="20"/>
              </w:rPr>
            </w:pPr>
            <w:r w:rsidRPr="00EC3875">
              <w:rPr>
                <w:rFonts w:ascii="Arial" w:eastAsia="Times New Roman" w:hAnsi="Arial" w:cs="Arial"/>
                <w:sz w:val="20"/>
                <w:szCs w:val="20"/>
              </w:rPr>
              <w:t>8</w:t>
            </w:r>
          </w:p>
        </w:tc>
      </w:tr>
    </w:tbl>
    <w:p w14:paraId="61EEB2CB" w14:textId="77777777" w:rsidR="00B17EF4" w:rsidRPr="00EC3875" w:rsidRDefault="00B17EF4" w:rsidP="00401047">
      <w:pPr>
        <w:pStyle w:val="FreeForm"/>
        <w:ind w:left="10"/>
        <w:rPr>
          <w:rFonts w:ascii="Arial" w:hAnsi="Arial"/>
          <w:sz w:val="22"/>
        </w:rPr>
      </w:pPr>
    </w:p>
    <w:p w14:paraId="1D4E0ADD" w14:textId="77777777" w:rsidR="00B17EF4" w:rsidRPr="00EC3875" w:rsidRDefault="00B17EF4" w:rsidP="00401047">
      <w:pPr>
        <w:widowControl w:val="0"/>
        <w:spacing w:line="480" w:lineRule="auto"/>
        <w:rPr>
          <w:rFonts w:ascii="Arial Bold" w:hAnsi="Arial Bold"/>
          <w:sz w:val="22"/>
        </w:rPr>
      </w:pPr>
      <w:r w:rsidRPr="00EC3875">
        <w:rPr>
          <w:rFonts w:ascii="Arial Bold" w:hAnsi="Arial Bold"/>
          <w:sz w:val="22"/>
        </w:rPr>
        <w:t>Table 1: Study Population Characteristics</w:t>
      </w:r>
    </w:p>
    <w:p w14:paraId="56037017" w14:textId="77777777" w:rsidR="00B17EF4" w:rsidRPr="00EC3875" w:rsidRDefault="00B17EF4" w:rsidP="00401047">
      <w:pPr>
        <w:widowControl w:val="0"/>
        <w:spacing w:line="480" w:lineRule="auto"/>
        <w:rPr>
          <w:rFonts w:ascii="Arial" w:hAnsi="Arial"/>
          <w:sz w:val="22"/>
        </w:rPr>
      </w:pPr>
      <w:r w:rsidRPr="00EC3875">
        <w:rPr>
          <w:rFonts w:ascii="Arial" w:hAnsi="Arial"/>
          <w:sz w:val="22"/>
        </w:rPr>
        <w:t>(</w:t>
      </w:r>
      <w:r w:rsidRPr="00EC3875">
        <w:rPr>
          <w:rFonts w:ascii="Arial" w:hAnsi="Arial"/>
          <w:sz w:val="22"/>
        </w:rPr>
        <w:sym w:font="Symbol" w:char="F0B1"/>
      </w:r>
      <w:r w:rsidRPr="00EC3875">
        <w:rPr>
          <w:rFonts w:ascii="Arial" w:hAnsi="Arial"/>
          <w:sz w:val="22"/>
        </w:rPr>
        <w:t xml:space="preserve"> designates standard deviation)</w:t>
      </w:r>
    </w:p>
    <w:p w14:paraId="5CEFF7D9" w14:textId="77777777" w:rsidR="00B17EF4" w:rsidRPr="00EC3875" w:rsidRDefault="00B17EF4" w:rsidP="00401047">
      <w:pPr>
        <w:widowControl w:val="0"/>
        <w:spacing w:line="480" w:lineRule="auto"/>
        <w:rPr>
          <w:rFonts w:ascii="Arial" w:hAnsi="Arial"/>
          <w:sz w:val="22"/>
        </w:rPr>
      </w:pPr>
      <w:r w:rsidRPr="00EC3875">
        <w:rPr>
          <w:rFonts w:ascii="Arial" w:hAnsi="Arial"/>
          <w:b/>
          <w:sz w:val="22"/>
        </w:rPr>
        <w:br w:type="page"/>
      </w:r>
    </w:p>
    <w:tbl>
      <w:tblPr>
        <w:tblW w:w="6280" w:type="dxa"/>
        <w:tblInd w:w="93" w:type="dxa"/>
        <w:tblLook w:val="0000" w:firstRow="0" w:lastRow="0" w:firstColumn="0" w:lastColumn="0" w:noHBand="0" w:noVBand="0"/>
      </w:tblPr>
      <w:tblGrid>
        <w:gridCol w:w="3700"/>
        <w:gridCol w:w="2580"/>
      </w:tblGrid>
      <w:tr w:rsidR="00B17EF4" w:rsidRPr="00EC3875" w14:paraId="19D00CE5" w14:textId="77777777" w:rsidTr="00896317">
        <w:trPr>
          <w:cantSplit/>
          <w:trHeight w:val="315"/>
        </w:trPr>
        <w:tc>
          <w:tcPr>
            <w:tcW w:w="3700" w:type="dxa"/>
            <w:tcBorders>
              <w:top w:val="single" w:sz="8" w:space="0" w:color="000000"/>
              <w:left w:val="single" w:sz="8" w:space="0" w:color="000000"/>
              <w:bottom w:val="single" w:sz="8" w:space="0" w:color="000000"/>
              <w:right w:val="single" w:sz="8" w:space="0" w:color="000000"/>
            </w:tcBorders>
            <w:vAlign w:val="bottom"/>
          </w:tcPr>
          <w:p w14:paraId="7D042355" w14:textId="77777777" w:rsidR="00B17EF4" w:rsidRPr="00EC3875" w:rsidRDefault="00B17EF4" w:rsidP="00896317">
            <w:pPr>
              <w:jc w:val="center"/>
              <w:rPr>
                <w:rFonts w:ascii="Arial Bold" w:eastAsia="Times New Roman" w:hAnsi="Arial Bold" w:cs="Arial"/>
                <w:sz w:val="22"/>
                <w:szCs w:val="22"/>
              </w:rPr>
            </w:pPr>
            <w:r w:rsidRPr="00EC3875">
              <w:rPr>
                <w:rFonts w:ascii="Arial Bold" w:eastAsia="Times New Roman" w:hAnsi="Arial Bold" w:cs="Arial"/>
                <w:sz w:val="22"/>
              </w:rPr>
              <w:lastRenderedPageBreak/>
              <w:t>Measure</w:t>
            </w:r>
          </w:p>
        </w:tc>
        <w:tc>
          <w:tcPr>
            <w:tcW w:w="2580" w:type="dxa"/>
            <w:tcBorders>
              <w:top w:val="single" w:sz="8" w:space="0" w:color="000000"/>
              <w:left w:val="nil"/>
              <w:bottom w:val="single" w:sz="8" w:space="0" w:color="000000"/>
              <w:right w:val="single" w:sz="8" w:space="0" w:color="000000"/>
            </w:tcBorders>
            <w:vAlign w:val="bottom"/>
          </w:tcPr>
          <w:p w14:paraId="22CC7C7A" w14:textId="77777777" w:rsidR="00B17EF4" w:rsidRPr="00EC3875" w:rsidRDefault="00B17EF4" w:rsidP="00896317">
            <w:pPr>
              <w:jc w:val="center"/>
              <w:rPr>
                <w:rFonts w:ascii="Arial Bold" w:eastAsia="Times New Roman" w:hAnsi="Arial Bold" w:cs="Arial"/>
                <w:sz w:val="22"/>
                <w:szCs w:val="22"/>
              </w:rPr>
            </w:pPr>
            <w:r w:rsidRPr="00EC3875">
              <w:rPr>
                <w:rFonts w:ascii="Arial Bold" w:eastAsia="Times New Roman" w:hAnsi="Arial Bold" w:cs="Arial"/>
                <w:sz w:val="22"/>
              </w:rPr>
              <w:t>Number of Outcomes</w:t>
            </w:r>
          </w:p>
        </w:tc>
      </w:tr>
      <w:tr w:rsidR="00B17EF4" w:rsidRPr="00EC3875" w14:paraId="3ABE1060" w14:textId="77777777" w:rsidTr="00896317">
        <w:trPr>
          <w:cantSplit/>
          <w:trHeight w:val="405"/>
        </w:trPr>
        <w:tc>
          <w:tcPr>
            <w:tcW w:w="3700" w:type="dxa"/>
            <w:tcBorders>
              <w:top w:val="nil"/>
              <w:left w:val="single" w:sz="8" w:space="0" w:color="000000"/>
              <w:bottom w:val="single" w:sz="8" w:space="0" w:color="000000"/>
              <w:right w:val="single" w:sz="8" w:space="0" w:color="000000"/>
            </w:tcBorders>
            <w:shd w:val="clear" w:color="auto" w:fill="C0C0C0"/>
            <w:vAlign w:val="bottom"/>
          </w:tcPr>
          <w:p w14:paraId="5D8B65FC" w14:textId="77777777" w:rsidR="00B17EF4" w:rsidRPr="00EC3875" w:rsidRDefault="00B17EF4" w:rsidP="00896317">
            <w:pPr>
              <w:jc w:val="center"/>
              <w:rPr>
                <w:rFonts w:ascii="Arial" w:eastAsia="Times New Roman" w:hAnsi="Arial" w:cs="Arial"/>
                <w:sz w:val="22"/>
                <w:szCs w:val="22"/>
              </w:rPr>
            </w:pPr>
            <w:r w:rsidRPr="00EC3875">
              <w:rPr>
                <w:rFonts w:ascii="Arial" w:eastAsia="Times New Roman" w:hAnsi="Arial" w:cs="Arial"/>
                <w:sz w:val="22"/>
                <w:szCs w:val="22"/>
              </w:rPr>
              <w:t>ANAM4™ mood scores</w:t>
            </w:r>
          </w:p>
        </w:tc>
        <w:tc>
          <w:tcPr>
            <w:tcW w:w="2580" w:type="dxa"/>
            <w:tcBorders>
              <w:top w:val="nil"/>
              <w:left w:val="nil"/>
              <w:bottom w:val="single" w:sz="8" w:space="0" w:color="000000"/>
              <w:right w:val="single" w:sz="8" w:space="0" w:color="000000"/>
            </w:tcBorders>
            <w:shd w:val="clear" w:color="auto" w:fill="C0C0C0"/>
            <w:vAlign w:val="bottom"/>
          </w:tcPr>
          <w:p w14:paraId="47D4689C" w14:textId="77777777" w:rsidR="00B17EF4" w:rsidRPr="00EC3875" w:rsidRDefault="00B17EF4" w:rsidP="00896317">
            <w:pPr>
              <w:jc w:val="center"/>
              <w:rPr>
                <w:rFonts w:ascii="Arial" w:eastAsia="Times New Roman" w:hAnsi="Arial" w:cs="Arial"/>
                <w:sz w:val="22"/>
                <w:szCs w:val="22"/>
              </w:rPr>
            </w:pPr>
            <w:r w:rsidRPr="00EC3875">
              <w:rPr>
                <w:rFonts w:ascii="Arial" w:eastAsia="Times New Roman" w:hAnsi="Arial" w:cs="Arial"/>
                <w:sz w:val="22"/>
                <w:szCs w:val="22"/>
              </w:rPr>
              <w:t>8</w:t>
            </w:r>
          </w:p>
        </w:tc>
      </w:tr>
      <w:tr w:rsidR="00B17EF4" w:rsidRPr="00EC3875" w14:paraId="05F895AD" w14:textId="77777777" w:rsidTr="00896317">
        <w:trPr>
          <w:cantSplit/>
          <w:trHeight w:val="420"/>
        </w:trPr>
        <w:tc>
          <w:tcPr>
            <w:tcW w:w="3700" w:type="dxa"/>
            <w:tcBorders>
              <w:top w:val="nil"/>
              <w:left w:val="single" w:sz="8" w:space="0" w:color="000000"/>
              <w:bottom w:val="single" w:sz="8" w:space="0" w:color="000000"/>
              <w:right w:val="single" w:sz="8" w:space="0" w:color="000000"/>
            </w:tcBorders>
            <w:vAlign w:val="bottom"/>
          </w:tcPr>
          <w:p w14:paraId="2886F557" w14:textId="77777777" w:rsidR="00B17EF4" w:rsidRPr="00EC3875" w:rsidRDefault="00B17EF4" w:rsidP="00896317">
            <w:pPr>
              <w:jc w:val="center"/>
              <w:rPr>
                <w:rFonts w:ascii="Arial" w:eastAsia="Times New Roman" w:hAnsi="Arial" w:cs="Arial"/>
                <w:sz w:val="22"/>
                <w:szCs w:val="22"/>
              </w:rPr>
            </w:pPr>
            <w:r w:rsidRPr="00EC3875">
              <w:rPr>
                <w:rFonts w:ascii="Arial" w:eastAsia="Times New Roman" w:hAnsi="Arial" w:cs="Arial"/>
                <w:sz w:val="22"/>
                <w:szCs w:val="22"/>
              </w:rPr>
              <w:t>ANAM4™ neurocognitive tests</w:t>
            </w:r>
          </w:p>
        </w:tc>
        <w:tc>
          <w:tcPr>
            <w:tcW w:w="2580" w:type="dxa"/>
            <w:tcBorders>
              <w:top w:val="nil"/>
              <w:left w:val="nil"/>
              <w:bottom w:val="single" w:sz="8" w:space="0" w:color="000000"/>
              <w:right w:val="single" w:sz="8" w:space="0" w:color="000000"/>
            </w:tcBorders>
            <w:vAlign w:val="bottom"/>
          </w:tcPr>
          <w:p w14:paraId="5C7EC280" w14:textId="77777777" w:rsidR="00B17EF4" w:rsidRPr="00EC3875" w:rsidRDefault="00B17EF4" w:rsidP="00896317">
            <w:pPr>
              <w:jc w:val="center"/>
              <w:rPr>
                <w:rFonts w:ascii="Arial" w:eastAsia="Times New Roman" w:hAnsi="Arial" w:cs="Arial"/>
                <w:sz w:val="22"/>
                <w:szCs w:val="22"/>
              </w:rPr>
            </w:pPr>
            <w:r w:rsidRPr="00EC3875">
              <w:rPr>
                <w:rFonts w:ascii="Arial" w:eastAsia="Times New Roman" w:hAnsi="Arial" w:cs="Arial"/>
                <w:sz w:val="22"/>
                <w:szCs w:val="22"/>
              </w:rPr>
              <w:t>7</w:t>
            </w:r>
          </w:p>
        </w:tc>
      </w:tr>
      <w:tr w:rsidR="00B17EF4" w:rsidRPr="00EC3875" w14:paraId="6E79939C" w14:textId="77777777" w:rsidTr="00896317">
        <w:trPr>
          <w:cantSplit/>
          <w:trHeight w:val="360"/>
        </w:trPr>
        <w:tc>
          <w:tcPr>
            <w:tcW w:w="3700" w:type="dxa"/>
            <w:tcBorders>
              <w:top w:val="nil"/>
              <w:left w:val="single" w:sz="8" w:space="0" w:color="000000"/>
              <w:bottom w:val="single" w:sz="8" w:space="0" w:color="000000"/>
              <w:right w:val="single" w:sz="8" w:space="0" w:color="000000"/>
            </w:tcBorders>
            <w:shd w:val="clear" w:color="auto" w:fill="C0C0C0"/>
            <w:vAlign w:val="bottom"/>
          </w:tcPr>
          <w:p w14:paraId="2C92B3EA" w14:textId="77777777" w:rsidR="00B17EF4" w:rsidRPr="00EC3875" w:rsidRDefault="00B17EF4" w:rsidP="00896317">
            <w:pPr>
              <w:jc w:val="center"/>
              <w:rPr>
                <w:rFonts w:ascii="Arial" w:eastAsia="Times New Roman" w:hAnsi="Arial" w:cs="Arial"/>
                <w:sz w:val="22"/>
                <w:szCs w:val="22"/>
              </w:rPr>
            </w:pPr>
            <w:r w:rsidRPr="00EC3875">
              <w:rPr>
                <w:rFonts w:ascii="Arial" w:eastAsia="Times New Roman" w:hAnsi="Arial" w:cs="Arial"/>
                <w:sz w:val="22"/>
                <w:szCs w:val="22"/>
              </w:rPr>
              <w:t>CNS VS neurocognitive tests</w:t>
            </w:r>
          </w:p>
        </w:tc>
        <w:tc>
          <w:tcPr>
            <w:tcW w:w="2580" w:type="dxa"/>
            <w:tcBorders>
              <w:top w:val="nil"/>
              <w:left w:val="nil"/>
              <w:bottom w:val="single" w:sz="8" w:space="0" w:color="000000"/>
              <w:right w:val="single" w:sz="8" w:space="0" w:color="000000"/>
            </w:tcBorders>
            <w:shd w:val="clear" w:color="auto" w:fill="C0C0C0"/>
            <w:vAlign w:val="bottom"/>
          </w:tcPr>
          <w:p w14:paraId="130CD5FA" w14:textId="77777777" w:rsidR="00B17EF4" w:rsidRPr="00EC3875" w:rsidRDefault="00B17EF4" w:rsidP="00896317">
            <w:pPr>
              <w:jc w:val="center"/>
              <w:rPr>
                <w:rFonts w:ascii="Arial" w:eastAsia="Times New Roman" w:hAnsi="Arial" w:cs="Arial"/>
                <w:sz w:val="22"/>
                <w:szCs w:val="22"/>
              </w:rPr>
            </w:pPr>
            <w:r w:rsidRPr="00EC3875">
              <w:rPr>
                <w:rFonts w:ascii="Arial" w:eastAsia="Times New Roman" w:hAnsi="Arial" w:cs="Arial"/>
                <w:sz w:val="22"/>
                <w:szCs w:val="22"/>
              </w:rPr>
              <w:t>10</w:t>
            </w:r>
          </w:p>
        </w:tc>
      </w:tr>
      <w:tr w:rsidR="00B17EF4" w:rsidRPr="00EC3875" w14:paraId="411DFA76" w14:textId="77777777" w:rsidTr="00896317">
        <w:trPr>
          <w:cantSplit/>
          <w:trHeight w:val="405"/>
        </w:trPr>
        <w:tc>
          <w:tcPr>
            <w:tcW w:w="3700" w:type="dxa"/>
            <w:tcBorders>
              <w:top w:val="nil"/>
              <w:left w:val="single" w:sz="8" w:space="0" w:color="000000"/>
              <w:bottom w:val="single" w:sz="8" w:space="0" w:color="000000"/>
              <w:right w:val="single" w:sz="8" w:space="0" w:color="000000"/>
            </w:tcBorders>
            <w:shd w:val="clear" w:color="auto" w:fill="FFFFFF"/>
            <w:vAlign w:val="bottom"/>
          </w:tcPr>
          <w:p w14:paraId="4920C5ED" w14:textId="77777777" w:rsidR="00B17EF4" w:rsidRPr="00EC3875" w:rsidRDefault="00B17EF4" w:rsidP="00896317">
            <w:pPr>
              <w:jc w:val="center"/>
              <w:rPr>
                <w:rFonts w:ascii="Arial Bold" w:eastAsia="Times New Roman" w:hAnsi="Arial Bold" w:cs="Arial"/>
                <w:sz w:val="22"/>
                <w:szCs w:val="22"/>
              </w:rPr>
            </w:pPr>
            <w:r w:rsidRPr="00EC3875">
              <w:rPr>
                <w:rFonts w:ascii="Arial Bold" w:eastAsia="Times New Roman" w:hAnsi="Arial Bold" w:cs="Arial"/>
                <w:sz w:val="22"/>
              </w:rPr>
              <w:t>Total number of measures</w:t>
            </w:r>
          </w:p>
        </w:tc>
        <w:tc>
          <w:tcPr>
            <w:tcW w:w="2580" w:type="dxa"/>
            <w:tcBorders>
              <w:top w:val="nil"/>
              <w:left w:val="nil"/>
              <w:bottom w:val="single" w:sz="8" w:space="0" w:color="000000"/>
              <w:right w:val="single" w:sz="8" w:space="0" w:color="000000"/>
            </w:tcBorders>
            <w:shd w:val="clear" w:color="auto" w:fill="FFFFFF"/>
            <w:vAlign w:val="bottom"/>
          </w:tcPr>
          <w:p w14:paraId="0955F17D" w14:textId="77777777" w:rsidR="00B17EF4" w:rsidRPr="00EC3875" w:rsidRDefault="00B17EF4" w:rsidP="00896317">
            <w:pPr>
              <w:jc w:val="center"/>
              <w:rPr>
                <w:rFonts w:ascii="Arial Bold" w:eastAsia="Times New Roman" w:hAnsi="Arial Bold" w:cs="Arial"/>
                <w:sz w:val="22"/>
                <w:szCs w:val="22"/>
              </w:rPr>
            </w:pPr>
            <w:r w:rsidRPr="00EC3875">
              <w:rPr>
                <w:rFonts w:ascii="Arial Bold" w:eastAsia="Times New Roman" w:hAnsi="Arial Bold" w:cs="Arial"/>
                <w:sz w:val="22"/>
              </w:rPr>
              <w:t>25</w:t>
            </w:r>
          </w:p>
        </w:tc>
      </w:tr>
    </w:tbl>
    <w:p w14:paraId="361E6798" w14:textId="77777777" w:rsidR="00B17EF4" w:rsidRPr="00EC3875" w:rsidRDefault="00B17EF4" w:rsidP="00401047">
      <w:pPr>
        <w:pStyle w:val="FreeForm"/>
        <w:ind w:left="10"/>
        <w:rPr>
          <w:rFonts w:ascii="Arial" w:hAnsi="Arial"/>
          <w:sz w:val="22"/>
        </w:rPr>
      </w:pPr>
    </w:p>
    <w:p w14:paraId="47790D2E" w14:textId="77777777" w:rsidR="00B17EF4" w:rsidRPr="00EC3875" w:rsidRDefault="00B17EF4" w:rsidP="00401047">
      <w:pPr>
        <w:widowControl w:val="0"/>
        <w:spacing w:line="480" w:lineRule="auto"/>
        <w:rPr>
          <w:rFonts w:ascii="Arial Bold" w:hAnsi="Arial Bold"/>
          <w:sz w:val="22"/>
        </w:rPr>
      </w:pPr>
      <w:r w:rsidRPr="00EC3875">
        <w:rPr>
          <w:rFonts w:ascii="Arial Bold" w:hAnsi="Arial Bold"/>
          <w:sz w:val="22"/>
        </w:rPr>
        <w:t>Table 2: Outcome Measures</w:t>
      </w:r>
    </w:p>
    <w:p w14:paraId="09FB8B2F" w14:textId="77777777" w:rsidR="00B17EF4" w:rsidRPr="00EC3875" w:rsidRDefault="00B17EF4" w:rsidP="0086162D">
      <w:pPr>
        <w:widowControl w:val="0"/>
        <w:spacing w:line="480" w:lineRule="auto"/>
        <w:rPr>
          <w:rFonts w:ascii="Arial" w:hAnsi="Arial"/>
          <w:b/>
          <w:sz w:val="22"/>
        </w:rPr>
      </w:pPr>
      <w:r w:rsidRPr="00EC3875">
        <w:rPr>
          <w:rFonts w:ascii="Arial" w:hAnsi="Arial"/>
          <w:b/>
          <w:sz w:val="22"/>
        </w:rPr>
        <w:br w:type="page"/>
      </w:r>
    </w:p>
    <w:tbl>
      <w:tblPr>
        <w:tblW w:w="9360" w:type="dxa"/>
        <w:tblInd w:w="93" w:type="dxa"/>
        <w:tblLook w:val="0000" w:firstRow="0" w:lastRow="0" w:firstColumn="0" w:lastColumn="0" w:noHBand="0" w:noVBand="0"/>
      </w:tblPr>
      <w:tblGrid>
        <w:gridCol w:w="1360"/>
        <w:gridCol w:w="1760"/>
        <w:gridCol w:w="1760"/>
        <w:gridCol w:w="1760"/>
        <w:gridCol w:w="1760"/>
        <w:gridCol w:w="960"/>
      </w:tblGrid>
      <w:tr w:rsidR="00B17EF4" w:rsidRPr="00EC3875" w14:paraId="329ED74F" w14:textId="77777777" w:rsidTr="00F87077">
        <w:trPr>
          <w:cantSplit/>
          <w:trHeight w:val="255"/>
        </w:trPr>
        <w:tc>
          <w:tcPr>
            <w:tcW w:w="1360" w:type="dxa"/>
            <w:vMerge w:val="restart"/>
            <w:tcBorders>
              <w:top w:val="single" w:sz="8" w:space="0" w:color="auto"/>
              <w:left w:val="single" w:sz="8" w:space="0" w:color="auto"/>
              <w:bottom w:val="nil"/>
              <w:right w:val="nil"/>
            </w:tcBorders>
            <w:shd w:val="clear" w:color="auto" w:fill="FFFFFF"/>
            <w:vAlign w:val="bottom"/>
          </w:tcPr>
          <w:p w14:paraId="12174C04" w14:textId="77777777" w:rsidR="00B17EF4" w:rsidRPr="00EC3875" w:rsidRDefault="00B17EF4" w:rsidP="00F87077">
            <w:pPr>
              <w:jc w:val="center"/>
              <w:rPr>
                <w:rFonts w:ascii="Arial" w:eastAsia="Times New Roman" w:hAnsi="Arial" w:cs="Arial"/>
                <w:b/>
                <w:bCs/>
                <w:color w:val="003366"/>
                <w:sz w:val="16"/>
                <w:szCs w:val="16"/>
              </w:rPr>
            </w:pPr>
            <w:r w:rsidRPr="00EC3875">
              <w:rPr>
                <w:rFonts w:ascii="Arial" w:eastAsia="Times New Roman" w:hAnsi="Arial" w:cs="Arial"/>
                <w:b/>
                <w:bCs/>
                <w:color w:val="003366"/>
                <w:sz w:val="16"/>
                <w:szCs w:val="16"/>
              </w:rPr>
              <w:lastRenderedPageBreak/>
              <w:t> </w:t>
            </w:r>
          </w:p>
        </w:tc>
        <w:tc>
          <w:tcPr>
            <w:tcW w:w="1760" w:type="dxa"/>
            <w:tcBorders>
              <w:top w:val="single" w:sz="8" w:space="0" w:color="auto"/>
              <w:left w:val="single" w:sz="8" w:space="0" w:color="auto"/>
              <w:bottom w:val="nil"/>
              <w:right w:val="nil"/>
            </w:tcBorders>
            <w:shd w:val="clear" w:color="auto" w:fill="FFFFFF"/>
            <w:vAlign w:val="bottom"/>
          </w:tcPr>
          <w:p w14:paraId="22CBE2F0"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Active Duty</w:t>
            </w:r>
          </w:p>
        </w:tc>
        <w:tc>
          <w:tcPr>
            <w:tcW w:w="1760" w:type="dxa"/>
            <w:tcBorders>
              <w:top w:val="single" w:sz="8" w:space="0" w:color="auto"/>
              <w:left w:val="single" w:sz="8" w:space="0" w:color="auto"/>
              <w:bottom w:val="nil"/>
              <w:right w:val="nil"/>
            </w:tcBorders>
            <w:shd w:val="clear" w:color="auto" w:fill="FFFFFF"/>
            <w:vAlign w:val="bottom"/>
          </w:tcPr>
          <w:p w14:paraId="02CDCE7C"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Veteran</w:t>
            </w:r>
          </w:p>
        </w:tc>
        <w:tc>
          <w:tcPr>
            <w:tcW w:w="1760" w:type="dxa"/>
            <w:tcBorders>
              <w:top w:val="single" w:sz="8" w:space="0" w:color="auto"/>
              <w:left w:val="single" w:sz="8" w:space="0" w:color="auto"/>
              <w:bottom w:val="nil"/>
              <w:right w:val="nil"/>
            </w:tcBorders>
            <w:shd w:val="clear" w:color="auto" w:fill="FFFFFF"/>
            <w:vAlign w:val="bottom"/>
          </w:tcPr>
          <w:p w14:paraId="2C770E7D"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Civilian</w:t>
            </w:r>
          </w:p>
        </w:tc>
        <w:tc>
          <w:tcPr>
            <w:tcW w:w="1760" w:type="dxa"/>
            <w:tcBorders>
              <w:top w:val="single" w:sz="8" w:space="0" w:color="auto"/>
              <w:left w:val="single" w:sz="8" w:space="0" w:color="auto"/>
              <w:bottom w:val="nil"/>
              <w:right w:val="single" w:sz="8" w:space="0" w:color="auto"/>
            </w:tcBorders>
            <w:shd w:val="clear" w:color="auto" w:fill="FFFFFF"/>
            <w:vAlign w:val="bottom"/>
          </w:tcPr>
          <w:p w14:paraId="6E73A807"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Total</w:t>
            </w:r>
          </w:p>
        </w:tc>
        <w:tc>
          <w:tcPr>
            <w:tcW w:w="960" w:type="dxa"/>
            <w:vMerge w:val="restart"/>
            <w:tcBorders>
              <w:top w:val="single" w:sz="8" w:space="0" w:color="auto"/>
              <w:left w:val="nil"/>
              <w:bottom w:val="nil"/>
              <w:right w:val="single" w:sz="8" w:space="0" w:color="auto"/>
            </w:tcBorders>
            <w:shd w:val="clear" w:color="auto" w:fill="FFFFFF"/>
            <w:vAlign w:val="bottom"/>
          </w:tcPr>
          <w:p w14:paraId="6602047C"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p value</w:t>
            </w:r>
          </w:p>
          <w:p w14:paraId="7672F145"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(ANOVA)</w:t>
            </w:r>
          </w:p>
        </w:tc>
      </w:tr>
      <w:tr w:rsidR="00B17EF4" w:rsidRPr="00EC3875" w14:paraId="757BD6AD" w14:textId="77777777" w:rsidTr="00F87077">
        <w:trPr>
          <w:trHeight w:val="255"/>
        </w:trPr>
        <w:tc>
          <w:tcPr>
            <w:tcW w:w="1360" w:type="dxa"/>
            <w:vMerge/>
            <w:tcBorders>
              <w:top w:val="single" w:sz="8" w:space="0" w:color="auto"/>
              <w:left w:val="single" w:sz="8" w:space="0" w:color="auto"/>
              <w:bottom w:val="nil"/>
              <w:right w:val="nil"/>
            </w:tcBorders>
            <w:vAlign w:val="center"/>
          </w:tcPr>
          <w:p w14:paraId="12B6B344" w14:textId="77777777" w:rsidR="00B17EF4" w:rsidRPr="00EC3875" w:rsidRDefault="00B17EF4" w:rsidP="00F87077">
            <w:pPr>
              <w:rPr>
                <w:rFonts w:ascii="Arial" w:eastAsia="Times New Roman" w:hAnsi="Arial" w:cs="Arial"/>
                <w:b/>
                <w:bCs/>
                <w:color w:val="003366"/>
                <w:sz w:val="16"/>
                <w:szCs w:val="16"/>
              </w:rPr>
            </w:pPr>
          </w:p>
        </w:tc>
        <w:tc>
          <w:tcPr>
            <w:tcW w:w="1760" w:type="dxa"/>
            <w:tcBorders>
              <w:top w:val="nil"/>
              <w:left w:val="single" w:sz="8" w:space="0" w:color="auto"/>
              <w:bottom w:val="nil"/>
              <w:right w:val="nil"/>
            </w:tcBorders>
            <w:shd w:val="clear" w:color="auto" w:fill="FFFFFF"/>
            <w:vAlign w:val="bottom"/>
          </w:tcPr>
          <w:p w14:paraId="0607E8B6"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(n = 7)</w:t>
            </w:r>
          </w:p>
        </w:tc>
        <w:tc>
          <w:tcPr>
            <w:tcW w:w="1760" w:type="dxa"/>
            <w:tcBorders>
              <w:top w:val="nil"/>
              <w:left w:val="single" w:sz="8" w:space="0" w:color="auto"/>
              <w:bottom w:val="nil"/>
              <w:right w:val="nil"/>
            </w:tcBorders>
            <w:shd w:val="clear" w:color="auto" w:fill="FFFFFF"/>
            <w:vAlign w:val="bottom"/>
          </w:tcPr>
          <w:p w14:paraId="787739A6"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(n = 12)</w:t>
            </w:r>
          </w:p>
        </w:tc>
        <w:tc>
          <w:tcPr>
            <w:tcW w:w="1760" w:type="dxa"/>
            <w:tcBorders>
              <w:top w:val="nil"/>
              <w:left w:val="single" w:sz="8" w:space="0" w:color="auto"/>
              <w:bottom w:val="nil"/>
              <w:right w:val="nil"/>
            </w:tcBorders>
            <w:shd w:val="clear" w:color="auto" w:fill="FFFFFF"/>
            <w:vAlign w:val="bottom"/>
          </w:tcPr>
          <w:p w14:paraId="10EB839A"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(n = 13)</w:t>
            </w:r>
          </w:p>
        </w:tc>
        <w:tc>
          <w:tcPr>
            <w:tcW w:w="1760" w:type="dxa"/>
            <w:tcBorders>
              <w:top w:val="nil"/>
              <w:left w:val="single" w:sz="8" w:space="0" w:color="auto"/>
              <w:bottom w:val="nil"/>
              <w:right w:val="single" w:sz="8" w:space="0" w:color="auto"/>
            </w:tcBorders>
            <w:shd w:val="clear" w:color="auto" w:fill="FFFFFF"/>
            <w:vAlign w:val="bottom"/>
          </w:tcPr>
          <w:p w14:paraId="36246CCF"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(n = 32)</w:t>
            </w:r>
          </w:p>
        </w:tc>
        <w:tc>
          <w:tcPr>
            <w:tcW w:w="960" w:type="dxa"/>
            <w:vMerge/>
            <w:tcBorders>
              <w:top w:val="single" w:sz="8" w:space="0" w:color="auto"/>
              <w:left w:val="nil"/>
              <w:bottom w:val="nil"/>
              <w:right w:val="single" w:sz="8" w:space="0" w:color="auto"/>
            </w:tcBorders>
            <w:vAlign w:val="center"/>
          </w:tcPr>
          <w:p w14:paraId="2E6F0E14" w14:textId="77777777" w:rsidR="00B17EF4" w:rsidRPr="00EC3875" w:rsidRDefault="00B17EF4" w:rsidP="00F87077">
            <w:pPr>
              <w:rPr>
                <w:rFonts w:ascii="Arial" w:eastAsia="Times New Roman" w:hAnsi="Arial" w:cs="Arial"/>
                <w:b/>
                <w:bCs/>
                <w:sz w:val="16"/>
                <w:szCs w:val="16"/>
              </w:rPr>
            </w:pPr>
          </w:p>
        </w:tc>
      </w:tr>
      <w:tr w:rsidR="00B17EF4" w:rsidRPr="00EC3875" w14:paraId="066DEAB1" w14:textId="77777777" w:rsidTr="00F87077">
        <w:trPr>
          <w:cantSplit/>
          <w:trHeight w:val="255"/>
        </w:trPr>
        <w:tc>
          <w:tcPr>
            <w:tcW w:w="1360" w:type="dxa"/>
            <w:vMerge w:val="restart"/>
            <w:tcBorders>
              <w:top w:val="nil"/>
              <w:left w:val="single" w:sz="8" w:space="0" w:color="auto"/>
              <w:bottom w:val="single" w:sz="8" w:space="0" w:color="000000"/>
              <w:right w:val="single" w:sz="8" w:space="0" w:color="auto"/>
            </w:tcBorders>
            <w:shd w:val="clear" w:color="auto" w:fill="FFFFFF"/>
            <w:vAlign w:val="bottom"/>
          </w:tcPr>
          <w:p w14:paraId="2AE79AA4"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Sleepiness</w:t>
            </w:r>
          </w:p>
        </w:tc>
        <w:tc>
          <w:tcPr>
            <w:tcW w:w="1760" w:type="dxa"/>
            <w:tcBorders>
              <w:top w:val="nil"/>
              <w:left w:val="nil"/>
              <w:bottom w:val="nil"/>
              <w:right w:val="single" w:sz="8" w:space="0" w:color="auto"/>
            </w:tcBorders>
            <w:vAlign w:val="bottom"/>
          </w:tcPr>
          <w:p w14:paraId="12245FB8"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-1.86±1.46, </w:t>
            </w:r>
            <w:r w:rsidRPr="00EC3875">
              <w:rPr>
                <w:rFonts w:ascii="Arial" w:eastAsia="Times New Roman" w:hAnsi="Arial" w:cs="Arial"/>
                <w:b/>
                <w:bCs/>
                <w:sz w:val="16"/>
                <w:szCs w:val="16"/>
              </w:rPr>
              <w:t>p=0.040</w:t>
            </w:r>
          </w:p>
        </w:tc>
        <w:tc>
          <w:tcPr>
            <w:tcW w:w="1760" w:type="dxa"/>
            <w:tcBorders>
              <w:top w:val="nil"/>
              <w:left w:val="nil"/>
              <w:bottom w:val="nil"/>
              <w:right w:val="single" w:sz="8" w:space="0" w:color="auto"/>
            </w:tcBorders>
            <w:vAlign w:val="bottom"/>
          </w:tcPr>
          <w:p w14:paraId="1878DD07"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-1.18±1.25, </w:t>
            </w:r>
            <w:r w:rsidRPr="00EC3875">
              <w:rPr>
                <w:rFonts w:ascii="Arial" w:eastAsia="Times New Roman" w:hAnsi="Arial" w:cs="Arial"/>
                <w:b/>
                <w:bCs/>
                <w:sz w:val="16"/>
                <w:szCs w:val="16"/>
              </w:rPr>
              <w:t>p=0.022</w:t>
            </w:r>
          </w:p>
        </w:tc>
        <w:tc>
          <w:tcPr>
            <w:tcW w:w="1760" w:type="dxa"/>
            <w:tcBorders>
              <w:top w:val="nil"/>
              <w:left w:val="nil"/>
              <w:bottom w:val="nil"/>
              <w:right w:val="single" w:sz="8" w:space="0" w:color="auto"/>
            </w:tcBorders>
            <w:vAlign w:val="bottom"/>
          </w:tcPr>
          <w:p w14:paraId="6FC41E72"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-0.69±1.25, p=0.089</w:t>
            </w:r>
          </w:p>
        </w:tc>
        <w:tc>
          <w:tcPr>
            <w:tcW w:w="1760" w:type="dxa"/>
            <w:tcBorders>
              <w:top w:val="nil"/>
              <w:left w:val="nil"/>
              <w:bottom w:val="nil"/>
              <w:right w:val="nil"/>
            </w:tcBorders>
            <w:vAlign w:val="bottom"/>
          </w:tcPr>
          <w:p w14:paraId="51D0F180"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-1.13±1.34, </w:t>
            </w:r>
            <w:r w:rsidRPr="00EC3875">
              <w:rPr>
                <w:rFonts w:ascii="Arial" w:eastAsia="Times New Roman" w:hAnsi="Arial" w:cs="Arial"/>
                <w:b/>
                <w:bCs/>
                <w:sz w:val="16"/>
                <w:szCs w:val="16"/>
              </w:rPr>
              <w:t>p&lt;0.001</w:t>
            </w:r>
          </w:p>
        </w:tc>
        <w:tc>
          <w:tcPr>
            <w:tcW w:w="960" w:type="dxa"/>
            <w:vMerge w:val="restart"/>
            <w:tcBorders>
              <w:top w:val="nil"/>
              <w:left w:val="single" w:sz="8" w:space="0" w:color="auto"/>
              <w:bottom w:val="single" w:sz="8" w:space="0" w:color="000000"/>
              <w:right w:val="single" w:sz="8" w:space="0" w:color="auto"/>
            </w:tcBorders>
            <w:vAlign w:val="bottom"/>
          </w:tcPr>
          <w:p w14:paraId="57CD9F87"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0.156</w:t>
            </w:r>
          </w:p>
        </w:tc>
      </w:tr>
      <w:tr w:rsidR="00B17EF4" w:rsidRPr="00EC3875" w14:paraId="01F02CA6" w14:textId="77777777" w:rsidTr="00F87077">
        <w:trPr>
          <w:trHeight w:val="270"/>
        </w:trPr>
        <w:tc>
          <w:tcPr>
            <w:tcW w:w="1360" w:type="dxa"/>
            <w:vMerge/>
            <w:tcBorders>
              <w:top w:val="nil"/>
              <w:left w:val="single" w:sz="8" w:space="0" w:color="auto"/>
              <w:bottom w:val="single" w:sz="8" w:space="0" w:color="000000"/>
              <w:right w:val="single" w:sz="8" w:space="0" w:color="auto"/>
            </w:tcBorders>
            <w:vAlign w:val="center"/>
          </w:tcPr>
          <w:p w14:paraId="41D14A50" w14:textId="77777777" w:rsidR="00B17EF4" w:rsidRPr="00EC3875" w:rsidRDefault="00B17EF4" w:rsidP="00F87077">
            <w:pPr>
              <w:rPr>
                <w:rFonts w:ascii="Arial" w:eastAsia="Times New Roman" w:hAnsi="Arial" w:cs="Arial"/>
                <w:b/>
                <w:bCs/>
                <w:sz w:val="16"/>
                <w:szCs w:val="16"/>
              </w:rPr>
            </w:pPr>
          </w:p>
        </w:tc>
        <w:tc>
          <w:tcPr>
            <w:tcW w:w="1760" w:type="dxa"/>
            <w:tcBorders>
              <w:top w:val="nil"/>
              <w:left w:val="nil"/>
              <w:bottom w:val="single" w:sz="8" w:space="0" w:color="auto"/>
              <w:right w:val="single" w:sz="8" w:space="0" w:color="auto"/>
            </w:tcBorders>
            <w:vAlign w:val="bottom"/>
          </w:tcPr>
          <w:p w14:paraId="151CB9E1"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-3.21 to -0.50</w:t>
            </w:r>
          </w:p>
        </w:tc>
        <w:tc>
          <w:tcPr>
            <w:tcW w:w="1760" w:type="dxa"/>
            <w:tcBorders>
              <w:top w:val="nil"/>
              <w:left w:val="nil"/>
              <w:bottom w:val="single" w:sz="8" w:space="0" w:color="auto"/>
              <w:right w:val="single" w:sz="8" w:space="0" w:color="auto"/>
            </w:tcBorders>
            <w:vAlign w:val="bottom"/>
          </w:tcPr>
          <w:p w14:paraId="0A13A5EA"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-2.02 to -0.34</w:t>
            </w:r>
          </w:p>
        </w:tc>
        <w:tc>
          <w:tcPr>
            <w:tcW w:w="1760" w:type="dxa"/>
            <w:tcBorders>
              <w:top w:val="nil"/>
              <w:left w:val="nil"/>
              <w:bottom w:val="single" w:sz="8" w:space="0" w:color="auto"/>
              <w:right w:val="single" w:sz="8" w:space="0" w:color="auto"/>
            </w:tcBorders>
            <w:vAlign w:val="bottom"/>
          </w:tcPr>
          <w:p w14:paraId="2ED0A5D3"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-1.45 to 0.06</w:t>
            </w:r>
          </w:p>
        </w:tc>
        <w:tc>
          <w:tcPr>
            <w:tcW w:w="1760" w:type="dxa"/>
            <w:tcBorders>
              <w:top w:val="nil"/>
              <w:left w:val="nil"/>
              <w:bottom w:val="single" w:sz="8" w:space="0" w:color="auto"/>
              <w:right w:val="nil"/>
            </w:tcBorders>
            <w:vAlign w:val="bottom"/>
          </w:tcPr>
          <w:p w14:paraId="157662C0"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-1.62 to -0.64</w:t>
            </w:r>
          </w:p>
        </w:tc>
        <w:tc>
          <w:tcPr>
            <w:tcW w:w="960" w:type="dxa"/>
            <w:vMerge/>
            <w:tcBorders>
              <w:top w:val="nil"/>
              <w:left w:val="single" w:sz="8" w:space="0" w:color="auto"/>
              <w:bottom w:val="single" w:sz="8" w:space="0" w:color="000000"/>
              <w:right w:val="single" w:sz="8" w:space="0" w:color="auto"/>
            </w:tcBorders>
            <w:vAlign w:val="center"/>
          </w:tcPr>
          <w:p w14:paraId="79B72415" w14:textId="77777777" w:rsidR="00B17EF4" w:rsidRPr="00EC3875" w:rsidRDefault="00B17EF4" w:rsidP="00F87077">
            <w:pPr>
              <w:rPr>
                <w:rFonts w:ascii="Arial" w:eastAsia="Times New Roman" w:hAnsi="Arial" w:cs="Arial"/>
                <w:sz w:val="16"/>
                <w:szCs w:val="16"/>
              </w:rPr>
            </w:pPr>
          </w:p>
        </w:tc>
      </w:tr>
      <w:tr w:rsidR="00B17EF4" w:rsidRPr="00EC3875" w14:paraId="05D18218" w14:textId="77777777" w:rsidTr="00F87077">
        <w:trPr>
          <w:cantSplit/>
          <w:trHeight w:val="255"/>
        </w:trPr>
        <w:tc>
          <w:tcPr>
            <w:tcW w:w="1360" w:type="dxa"/>
            <w:vMerge w:val="restart"/>
            <w:tcBorders>
              <w:top w:val="nil"/>
              <w:left w:val="single" w:sz="8" w:space="0" w:color="auto"/>
              <w:bottom w:val="single" w:sz="8" w:space="0" w:color="000000"/>
              <w:right w:val="single" w:sz="8" w:space="0" w:color="auto"/>
            </w:tcBorders>
            <w:shd w:val="clear" w:color="auto" w:fill="FFFFFF"/>
            <w:vAlign w:val="bottom"/>
          </w:tcPr>
          <w:p w14:paraId="75ED88E2"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Vigor</w:t>
            </w:r>
          </w:p>
        </w:tc>
        <w:tc>
          <w:tcPr>
            <w:tcW w:w="1760" w:type="dxa"/>
            <w:tcBorders>
              <w:top w:val="nil"/>
              <w:left w:val="nil"/>
              <w:bottom w:val="nil"/>
              <w:right w:val="single" w:sz="8" w:space="0" w:color="auto"/>
            </w:tcBorders>
            <w:vAlign w:val="bottom"/>
          </w:tcPr>
          <w:p w14:paraId="34A9493B"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32.7±15.2, </w:t>
            </w:r>
            <w:r w:rsidRPr="00EC3875">
              <w:rPr>
                <w:rFonts w:ascii="Arial" w:eastAsia="Times New Roman" w:hAnsi="Arial" w:cs="Arial"/>
                <w:b/>
                <w:bCs/>
                <w:sz w:val="16"/>
                <w:szCs w:val="16"/>
              </w:rPr>
              <w:t>p=0.001</w:t>
            </w:r>
          </w:p>
        </w:tc>
        <w:tc>
          <w:tcPr>
            <w:tcW w:w="1760" w:type="dxa"/>
            <w:tcBorders>
              <w:top w:val="nil"/>
              <w:left w:val="nil"/>
              <w:bottom w:val="nil"/>
              <w:right w:val="single" w:sz="8" w:space="0" w:color="auto"/>
            </w:tcBorders>
            <w:vAlign w:val="bottom"/>
          </w:tcPr>
          <w:p w14:paraId="5D6B220A"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27.4±23.9, </w:t>
            </w:r>
            <w:r w:rsidRPr="00EC3875">
              <w:rPr>
                <w:rFonts w:ascii="Arial" w:eastAsia="Times New Roman" w:hAnsi="Arial" w:cs="Arial"/>
                <w:b/>
                <w:bCs/>
                <w:sz w:val="16"/>
                <w:szCs w:val="16"/>
              </w:rPr>
              <w:t>p=0.002</w:t>
            </w:r>
          </w:p>
        </w:tc>
        <w:tc>
          <w:tcPr>
            <w:tcW w:w="1760" w:type="dxa"/>
            <w:tcBorders>
              <w:top w:val="nil"/>
              <w:left w:val="nil"/>
              <w:bottom w:val="nil"/>
              <w:right w:val="single" w:sz="8" w:space="0" w:color="auto"/>
            </w:tcBorders>
            <w:vAlign w:val="bottom"/>
          </w:tcPr>
          <w:p w14:paraId="7205D004"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8.3±24.0, p=0.236</w:t>
            </w:r>
          </w:p>
        </w:tc>
        <w:tc>
          <w:tcPr>
            <w:tcW w:w="1760" w:type="dxa"/>
            <w:tcBorders>
              <w:top w:val="nil"/>
              <w:left w:val="nil"/>
              <w:bottom w:val="nil"/>
              <w:right w:val="single" w:sz="8" w:space="0" w:color="auto"/>
            </w:tcBorders>
            <w:vAlign w:val="bottom"/>
          </w:tcPr>
          <w:p w14:paraId="640A295B"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20.8±24.2, </w:t>
            </w:r>
            <w:r w:rsidRPr="00EC3875">
              <w:rPr>
                <w:rFonts w:ascii="Arial" w:eastAsia="Times New Roman" w:hAnsi="Arial" w:cs="Arial"/>
                <w:b/>
                <w:bCs/>
                <w:sz w:val="16"/>
                <w:szCs w:val="16"/>
              </w:rPr>
              <w:t>p&lt;0.001</w:t>
            </w:r>
          </w:p>
        </w:tc>
        <w:tc>
          <w:tcPr>
            <w:tcW w:w="960" w:type="dxa"/>
            <w:vMerge w:val="restart"/>
            <w:tcBorders>
              <w:top w:val="nil"/>
              <w:left w:val="single" w:sz="8" w:space="0" w:color="auto"/>
              <w:bottom w:val="single" w:sz="8" w:space="0" w:color="000000"/>
              <w:right w:val="single" w:sz="8" w:space="0" w:color="auto"/>
            </w:tcBorders>
            <w:vAlign w:val="bottom"/>
          </w:tcPr>
          <w:p w14:paraId="74E1644B"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0.043</w:t>
            </w:r>
          </w:p>
        </w:tc>
      </w:tr>
      <w:tr w:rsidR="00B17EF4" w:rsidRPr="00EC3875" w14:paraId="7F1F9FE9" w14:textId="77777777" w:rsidTr="00F87077">
        <w:trPr>
          <w:trHeight w:val="270"/>
        </w:trPr>
        <w:tc>
          <w:tcPr>
            <w:tcW w:w="1360" w:type="dxa"/>
            <w:vMerge/>
            <w:tcBorders>
              <w:top w:val="nil"/>
              <w:left w:val="single" w:sz="8" w:space="0" w:color="auto"/>
              <w:bottom w:val="single" w:sz="8" w:space="0" w:color="000000"/>
              <w:right w:val="single" w:sz="8" w:space="0" w:color="auto"/>
            </w:tcBorders>
            <w:vAlign w:val="center"/>
          </w:tcPr>
          <w:p w14:paraId="5178751C" w14:textId="77777777" w:rsidR="00B17EF4" w:rsidRPr="00EC3875" w:rsidRDefault="00B17EF4" w:rsidP="00F87077">
            <w:pPr>
              <w:rPr>
                <w:rFonts w:ascii="Arial" w:eastAsia="Times New Roman" w:hAnsi="Arial" w:cs="Arial"/>
                <w:b/>
                <w:bCs/>
                <w:sz w:val="16"/>
                <w:szCs w:val="16"/>
              </w:rPr>
            </w:pPr>
          </w:p>
        </w:tc>
        <w:tc>
          <w:tcPr>
            <w:tcW w:w="1760" w:type="dxa"/>
            <w:tcBorders>
              <w:top w:val="nil"/>
              <w:left w:val="nil"/>
              <w:bottom w:val="single" w:sz="8" w:space="0" w:color="auto"/>
              <w:right w:val="single" w:sz="8" w:space="0" w:color="auto"/>
            </w:tcBorders>
            <w:vAlign w:val="bottom"/>
          </w:tcPr>
          <w:p w14:paraId="15319B53"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18.7 to 46.7</w:t>
            </w:r>
          </w:p>
        </w:tc>
        <w:tc>
          <w:tcPr>
            <w:tcW w:w="1760" w:type="dxa"/>
            <w:tcBorders>
              <w:top w:val="nil"/>
              <w:left w:val="nil"/>
              <w:bottom w:val="single" w:sz="8" w:space="0" w:color="auto"/>
              <w:right w:val="single" w:sz="8" w:space="0" w:color="auto"/>
            </w:tcBorders>
            <w:vAlign w:val="bottom"/>
          </w:tcPr>
          <w:p w14:paraId="2B208510"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12.2 to 42.6</w:t>
            </w:r>
          </w:p>
        </w:tc>
        <w:tc>
          <w:tcPr>
            <w:tcW w:w="1760" w:type="dxa"/>
            <w:tcBorders>
              <w:top w:val="nil"/>
              <w:left w:val="nil"/>
              <w:bottom w:val="single" w:sz="8" w:space="0" w:color="auto"/>
              <w:right w:val="single" w:sz="8" w:space="0" w:color="auto"/>
            </w:tcBorders>
            <w:vAlign w:val="bottom"/>
          </w:tcPr>
          <w:p w14:paraId="199D7C59"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-6.2 to 22.8</w:t>
            </w:r>
          </w:p>
        </w:tc>
        <w:tc>
          <w:tcPr>
            <w:tcW w:w="1760" w:type="dxa"/>
            <w:tcBorders>
              <w:top w:val="nil"/>
              <w:left w:val="nil"/>
              <w:bottom w:val="single" w:sz="8" w:space="0" w:color="auto"/>
              <w:right w:val="single" w:sz="8" w:space="0" w:color="auto"/>
            </w:tcBorders>
            <w:vAlign w:val="bottom"/>
          </w:tcPr>
          <w:p w14:paraId="49B82B63"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12.1 to 29.5</w:t>
            </w:r>
          </w:p>
        </w:tc>
        <w:tc>
          <w:tcPr>
            <w:tcW w:w="960" w:type="dxa"/>
            <w:vMerge/>
            <w:tcBorders>
              <w:top w:val="nil"/>
              <w:left w:val="single" w:sz="8" w:space="0" w:color="auto"/>
              <w:bottom w:val="single" w:sz="8" w:space="0" w:color="000000"/>
              <w:right w:val="single" w:sz="8" w:space="0" w:color="auto"/>
            </w:tcBorders>
            <w:vAlign w:val="center"/>
          </w:tcPr>
          <w:p w14:paraId="396552A0" w14:textId="77777777" w:rsidR="00B17EF4" w:rsidRPr="00EC3875" w:rsidRDefault="00B17EF4" w:rsidP="00F87077">
            <w:pPr>
              <w:rPr>
                <w:rFonts w:ascii="Arial" w:eastAsia="Times New Roman" w:hAnsi="Arial" w:cs="Arial"/>
                <w:b/>
                <w:bCs/>
                <w:sz w:val="16"/>
                <w:szCs w:val="16"/>
              </w:rPr>
            </w:pPr>
          </w:p>
        </w:tc>
      </w:tr>
      <w:tr w:rsidR="00B17EF4" w:rsidRPr="00EC3875" w14:paraId="39FFC30A" w14:textId="77777777" w:rsidTr="00F87077">
        <w:trPr>
          <w:cantSplit/>
          <w:trHeight w:val="255"/>
        </w:trPr>
        <w:tc>
          <w:tcPr>
            <w:tcW w:w="1360" w:type="dxa"/>
            <w:vMerge w:val="restart"/>
            <w:tcBorders>
              <w:top w:val="nil"/>
              <w:left w:val="single" w:sz="8" w:space="0" w:color="auto"/>
              <w:bottom w:val="single" w:sz="8" w:space="0" w:color="000000"/>
              <w:right w:val="single" w:sz="8" w:space="0" w:color="auto"/>
            </w:tcBorders>
            <w:shd w:val="clear" w:color="auto" w:fill="FFFFFF"/>
            <w:vAlign w:val="bottom"/>
          </w:tcPr>
          <w:p w14:paraId="7B469B09"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Restlessness</w:t>
            </w:r>
          </w:p>
        </w:tc>
        <w:tc>
          <w:tcPr>
            <w:tcW w:w="1760" w:type="dxa"/>
            <w:tcBorders>
              <w:top w:val="nil"/>
              <w:left w:val="nil"/>
              <w:bottom w:val="nil"/>
              <w:right w:val="single" w:sz="8" w:space="0" w:color="auto"/>
            </w:tcBorders>
            <w:vAlign w:val="bottom"/>
          </w:tcPr>
          <w:p w14:paraId="5EB6AFF7"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-27.0±19.4, </w:t>
            </w:r>
            <w:r w:rsidRPr="00EC3875">
              <w:rPr>
                <w:rFonts w:ascii="Arial" w:eastAsia="Times New Roman" w:hAnsi="Arial" w:cs="Arial"/>
                <w:b/>
                <w:bCs/>
                <w:sz w:val="16"/>
                <w:szCs w:val="16"/>
              </w:rPr>
              <w:t>p=0.016</w:t>
            </w:r>
          </w:p>
        </w:tc>
        <w:tc>
          <w:tcPr>
            <w:tcW w:w="1760" w:type="dxa"/>
            <w:tcBorders>
              <w:top w:val="nil"/>
              <w:left w:val="nil"/>
              <w:bottom w:val="nil"/>
              <w:right w:val="single" w:sz="8" w:space="0" w:color="auto"/>
            </w:tcBorders>
            <w:vAlign w:val="bottom"/>
          </w:tcPr>
          <w:p w14:paraId="21896EC6"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-18.3±27.0, </w:t>
            </w:r>
            <w:r w:rsidRPr="00EC3875">
              <w:rPr>
                <w:rFonts w:ascii="Arial" w:eastAsia="Times New Roman" w:hAnsi="Arial" w:cs="Arial"/>
                <w:b/>
                <w:bCs/>
                <w:sz w:val="16"/>
                <w:szCs w:val="16"/>
              </w:rPr>
              <w:t>p=0.029</w:t>
            </w:r>
          </w:p>
        </w:tc>
        <w:tc>
          <w:tcPr>
            <w:tcW w:w="1760" w:type="dxa"/>
            <w:tcBorders>
              <w:top w:val="nil"/>
              <w:left w:val="nil"/>
              <w:bottom w:val="nil"/>
              <w:right w:val="single" w:sz="8" w:space="0" w:color="auto"/>
            </w:tcBorders>
            <w:vAlign w:val="bottom"/>
          </w:tcPr>
          <w:p w14:paraId="306B65D1"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-6.0±14.4, p=0.182</w:t>
            </w:r>
          </w:p>
        </w:tc>
        <w:tc>
          <w:tcPr>
            <w:tcW w:w="1760" w:type="dxa"/>
            <w:tcBorders>
              <w:top w:val="nil"/>
              <w:left w:val="nil"/>
              <w:bottom w:val="nil"/>
              <w:right w:val="single" w:sz="8" w:space="0" w:color="auto"/>
            </w:tcBorders>
            <w:vAlign w:val="bottom"/>
          </w:tcPr>
          <w:p w14:paraId="232DCC22"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-15.2±21.9, </w:t>
            </w:r>
            <w:r w:rsidRPr="00EC3875">
              <w:rPr>
                <w:rFonts w:ascii="Arial" w:eastAsia="Times New Roman" w:hAnsi="Arial" w:cs="Arial"/>
                <w:b/>
                <w:bCs/>
                <w:sz w:val="16"/>
                <w:szCs w:val="16"/>
              </w:rPr>
              <w:t>p&lt;0.001</w:t>
            </w:r>
          </w:p>
        </w:tc>
        <w:tc>
          <w:tcPr>
            <w:tcW w:w="960" w:type="dxa"/>
            <w:vMerge w:val="restart"/>
            <w:tcBorders>
              <w:top w:val="nil"/>
              <w:left w:val="single" w:sz="8" w:space="0" w:color="auto"/>
              <w:bottom w:val="single" w:sz="8" w:space="0" w:color="000000"/>
              <w:right w:val="single" w:sz="8" w:space="0" w:color="auto"/>
            </w:tcBorders>
            <w:vAlign w:val="bottom"/>
          </w:tcPr>
          <w:p w14:paraId="2EFCF996"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0.066</w:t>
            </w:r>
          </w:p>
        </w:tc>
      </w:tr>
      <w:tr w:rsidR="00B17EF4" w:rsidRPr="00EC3875" w14:paraId="31682ED7" w14:textId="77777777" w:rsidTr="00F87077">
        <w:trPr>
          <w:trHeight w:val="270"/>
        </w:trPr>
        <w:tc>
          <w:tcPr>
            <w:tcW w:w="1360" w:type="dxa"/>
            <w:vMerge/>
            <w:tcBorders>
              <w:top w:val="nil"/>
              <w:left w:val="single" w:sz="8" w:space="0" w:color="auto"/>
              <w:bottom w:val="single" w:sz="8" w:space="0" w:color="000000"/>
              <w:right w:val="single" w:sz="8" w:space="0" w:color="auto"/>
            </w:tcBorders>
            <w:vAlign w:val="center"/>
          </w:tcPr>
          <w:p w14:paraId="23EA1E6B" w14:textId="77777777" w:rsidR="00B17EF4" w:rsidRPr="00EC3875" w:rsidRDefault="00B17EF4" w:rsidP="00F87077">
            <w:pPr>
              <w:rPr>
                <w:rFonts w:ascii="Arial" w:eastAsia="Times New Roman" w:hAnsi="Arial" w:cs="Arial"/>
                <w:b/>
                <w:bCs/>
                <w:sz w:val="16"/>
                <w:szCs w:val="16"/>
              </w:rPr>
            </w:pPr>
          </w:p>
        </w:tc>
        <w:tc>
          <w:tcPr>
            <w:tcW w:w="1760" w:type="dxa"/>
            <w:tcBorders>
              <w:top w:val="nil"/>
              <w:left w:val="nil"/>
              <w:bottom w:val="single" w:sz="8" w:space="0" w:color="auto"/>
              <w:right w:val="single" w:sz="8" w:space="0" w:color="auto"/>
            </w:tcBorders>
            <w:vAlign w:val="bottom"/>
          </w:tcPr>
          <w:p w14:paraId="679DA2CB"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-44.9 to -9.1</w:t>
            </w:r>
          </w:p>
        </w:tc>
        <w:tc>
          <w:tcPr>
            <w:tcW w:w="1760" w:type="dxa"/>
            <w:tcBorders>
              <w:top w:val="nil"/>
              <w:left w:val="nil"/>
              <w:bottom w:val="single" w:sz="8" w:space="0" w:color="auto"/>
              <w:right w:val="single" w:sz="8" w:space="0" w:color="auto"/>
            </w:tcBorders>
            <w:vAlign w:val="bottom"/>
          </w:tcPr>
          <w:p w14:paraId="257B413B"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-35.5 to -1.2</w:t>
            </w:r>
          </w:p>
        </w:tc>
        <w:tc>
          <w:tcPr>
            <w:tcW w:w="1760" w:type="dxa"/>
            <w:tcBorders>
              <w:top w:val="nil"/>
              <w:left w:val="nil"/>
              <w:bottom w:val="single" w:sz="8" w:space="0" w:color="auto"/>
              <w:right w:val="single" w:sz="8" w:space="0" w:color="auto"/>
            </w:tcBorders>
            <w:vAlign w:val="bottom"/>
          </w:tcPr>
          <w:p w14:paraId="0482351A"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-14.7 to 2.7</w:t>
            </w:r>
          </w:p>
        </w:tc>
        <w:tc>
          <w:tcPr>
            <w:tcW w:w="1760" w:type="dxa"/>
            <w:tcBorders>
              <w:top w:val="nil"/>
              <w:left w:val="nil"/>
              <w:bottom w:val="single" w:sz="8" w:space="0" w:color="auto"/>
              <w:right w:val="single" w:sz="8" w:space="0" w:color="auto"/>
            </w:tcBorders>
            <w:vAlign w:val="bottom"/>
          </w:tcPr>
          <w:p w14:paraId="123BD08F"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-23.1 to -7.3</w:t>
            </w:r>
          </w:p>
        </w:tc>
        <w:tc>
          <w:tcPr>
            <w:tcW w:w="960" w:type="dxa"/>
            <w:vMerge/>
            <w:tcBorders>
              <w:top w:val="nil"/>
              <w:left w:val="single" w:sz="8" w:space="0" w:color="auto"/>
              <w:bottom w:val="single" w:sz="8" w:space="0" w:color="000000"/>
              <w:right w:val="single" w:sz="8" w:space="0" w:color="auto"/>
            </w:tcBorders>
            <w:vAlign w:val="center"/>
          </w:tcPr>
          <w:p w14:paraId="1BBCB493" w14:textId="77777777" w:rsidR="00B17EF4" w:rsidRPr="00EC3875" w:rsidRDefault="00B17EF4" w:rsidP="00F87077">
            <w:pPr>
              <w:rPr>
                <w:rFonts w:ascii="Arial" w:eastAsia="Times New Roman" w:hAnsi="Arial" w:cs="Arial"/>
                <w:sz w:val="16"/>
                <w:szCs w:val="16"/>
              </w:rPr>
            </w:pPr>
          </w:p>
        </w:tc>
      </w:tr>
      <w:tr w:rsidR="00B17EF4" w:rsidRPr="00EC3875" w14:paraId="768D05A1" w14:textId="77777777" w:rsidTr="00F87077">
        <w:trPr>
          <w:cantSplit/>
          <w:trHeight w:val="255"/>
        </w:trPr>
        <w:tc>
          <w:tcPr>
            <w:tcW w:w="1360" w:type="dxa"/>
            <w:vMerge w:val="restart"/>
            <w:tcBorders>
              <w:top w:val="nil"/>
              <w:left w:val="single" w:sz="8" w:space="0" w:color="auto"/>
              <w:bottom w:val="single" w:sz="8" w:space="0" w:color="000000"/>
              <w:right w:val="single" w:sz="8" w:space="0" w:color="auto"/>
            </w:tcBorders>
            <w:shd w:val="clear" w:color="auto" w:fill="FFFFFF"/>
            <w:vAlign w:val="bottom"/>
          </w:tcPr>
          <w:p w14:paraId="04D9B3DE"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Depression</w:t>
            </w:r>
          </w:p>
        </w:tc>
        <w:tc>
          <w:tcPr>
            <w:tcW w:w="1760" w:type="dxa"/>
            <w:tcBorders>
              <w:top w:val="nil"/>
              <w:left w:val="nil"/>
              <w:bottom w:val="nil"/>
              <w:right w:val="single" w:sz="8" w:space="0" w:color="auto"/>
            </w:tcBorders>
            <w:vAlign w:val="bottom"/>
          </w:tcPr>
          <w:p w14:paraId="2ED6033F"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-13.7±17.4, p=0.058</w:t>
            </w:r>
          </w:p>
        </w:tc>
        <w:tc>
          <w:tcPr>
            <w:tcW w:w="1760" w:type="dxa"/>
            <w:tcBorders>
              <w:top w:val="nil"/>
              <w:left w:val="nil"/>
              <w:bottom w:val="nil"/>
              <w:right w:val="single" w:sz="8" w:space="0" w:color="auto"/>
            </w:tcBorders>
            <w:vAlign w:val="bottom"/>
          </w:tcPr>
          <w:p w14:paraId="6347592F"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-18.7±27.6, </w:t>
            </w:r>
            <w:r w:rsidRPr="00EC3875">
              <w:rPr>
                <w:rFonts w:ascii="Arial" w:eastAsia="Times New Roman" w:hAnsi="Arial" w:cs="Arial"/>
                <w:b/>
                <w:bCs/>
                <w:sz w:val="16"/>
                <w:szCs w:val="16"/>
              </w:rPr>
              <w:t>p=0.025</w:t>
            </w:r>
          </w:p>
        </w:tc>
        <w:tc>
          <w:tcPr>
            <w:tcW w:w="1760" w:type="dxa"/>
            <w:tcBorders>
              <w:top w:val="nil"/>
              <w:left w:val="nil"/>
              <w:bottom w:val="nil"/>
              <w:right w:val="single" w:sz="8" w:space="0" w:color="auto"/>
            </w:tcBorders>
            <w:vAlign w:val="bottom"/>
          </w:tcPr>
          <w:p w14:paraId="43353CFC"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-6.1±16.1, p=0.184</w:t>
            </w:r>
          </w:p>
        </w:tc>
        <w:tc>
          <w:tcPr>
            <w:tcW w:w="1760" w:type="dxa"/>
            <w:tcBorders>
              <w:top w:val="nil"/>
              <w:left w:val="nil"/>
              <w:bottom w:val="nil"/>
              <w:right w:val="single" w:sz="8" w:space="0" w:color="auto"/>
            </w:tcBorders>
            <w:vAlign w:val="bottom"/>
          </w:tcPr>
          <w:p w14:paraId="6C717260"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-12.5±21.5, </w:t>
            </w:r>
            <w:r w:rsidRPr="00EC3875">
              <w:rPr>
                <w:rFonts w:ascii="Arial" w:eastAsia="Times New Roman" w:hAnsi="Arial" w:cs="Arial"/>
                <w:b/>
                <w:bCs/>
                <w:sz w:val="16"/>
                <w:szCs w:val="16"/>
              </w:rPr>
              <w:t>p=0.002</w:t>
            </w:r>
          </w:p>
        </w:tc>
        <w:tc>
          <w:tcPr>
            <w:tcW w:w="960" w:type="dxa"/>
            <w:vMerge w:val="restart"/>
            <w:tcBorders>
              <w:top w:val="nil"/>
              <w:left w:val="single" w:sz="8" w:space="0" w:color="auto"/>
              <w:bottom w:val="single" w:sz="8" w:space="0" w:color="000000"/>
              <w:right w:val="single" w:sz="8" w:space="0" w:color="auto"/>
            </w:tcBorders>
            <w:vAlign w:val="bottom"/>
          </w:tcPr>
          <w:p w14:paraId="573DBD1E"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0.512</w:t>
            </w:r>
          </w:p>
        </w:tc>
      </w:tr>
      <w:tr w:rsidR="00B17EF4" w:rsidRPr="00EC3875" w14:paraId="0A864ABA" w14:textId="77777777" w:rsidTr="00F87077">
        <w:trPr>
          <w:trHeight w:val="270"/>
        </w:trPr>
        <w:tc>
          <w:tcPr>
            <w:tcW w:w="1360" w:type="dxa"/>
            <w:vMerge/>
            <w:tcBorders>
              <w:top w:val="nil"/>
              <w:left w:val="single" w:sz="8" w:space="0" w:color="auto"/>
              <w:bottom w:val="single" w:sz="8" w:space="0" w:color="000000"/>
              <w:right w:val="single" w:sz="8" w:space="0" w:color="auto"/>
            </w:tcBorders>
            <w:vAlign w:val="center"/>
          </w:tcPr>
          <w:p w14:paraId="1B1DFA9C" w14:textId="77777777" w:rsidR="00B17EF4" w:rsidRPr="00EC3875" w:rsidRDefault="00B17EF4" w:rsidP="00F87077">
            <w:pPr>
              <w:rPr>
                <w:rFonts w:ascii="Arial" w:eastAsia="Times New Roman" w:hAnsi="Arial" w:cs="Arial"/>
                <w:b/>
                <w:bCs/>
                <w:sz w:val="16"/>
                <w:szCs w:val="16"/>
              </w:rPr>
            </w:pPr>
          </w:p>
        </w:tc>
        <w:tc>
          <w:tcPr>
            <w:tcW w:w="1760" w:type="dxa"/>
            <w:tcBorders>
              <w:top w:val="nil"/>
              <w:left w:val="nil"/>
              <w:bottom w:val="single" w:sz="8" w:space="0" w:color="auto"/>
              <w:right w:val="single" w:sz="8" w:space="0" w:color="auto"/>
            </w:tcBorders>
            <w:vAlign w:val="bottom"/>
          </w:tcPr>
          <w:p w14:paraId="6823F5BB"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-29.8 to 2.4</w:t>
            </w:r>
          </w:p>
        </w:tc>
        <w:tc>
          <w:tcPr>
            <w:tcW w:w="1760" w:type="dxa"/>
            <w:tcBorders>
              <w:top w:val="nil"/>
              <w:left w:val="nil"/>
              <w:bottom w:val="single" w:sz="8" w:space="0" w:color="auto"/>
              <w:right w:val="single" w:sz="8" w:space="0" w:color="auto"/>
            </w:tcBorders>
            <w:vAlign w:val="bottom"/>
          </w:tcPr>
          <w:p w14:paraId="4696F694"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-36.2 to -1.1</w:t>
            </w:r>
          </w:p>
        </w:tc>
        <w:tc>
          <w:tcPr>
            <w:tcW w:w="1760" w:type="dxa"/>
            <w:tcBorders>
              <w:top w:val="nil"/>
              <w:left w:val="nil"/>
              <w:bottom w:val="single" w:sz="8" w:space="0" w:color="auto"/>
              <w:right w:val="single" w:sz="8" w:space="0" w:color="auto"/>
            </w:tcBorders>
            <w:vAlign w:val="bottom"/>
          </w:tcPr>
          <w:p w14:paraId="287E57F8"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-15.8 to 3.7</w:t>
            </w:r>
          </w:p>
        </w:tc>
        <w:tc>
          <w:tcPr>
            <w:tcW w:w="1760" w:type="dxa"/>
            <w:tcBorders>
              <w:top w:val="nil"/>
              <w:left w:val="nil"/>
              <w:bottom w:val="single" w:sz="8" w:space="0" w:color="auto"/>
              <w:right w:val="single" w:sz="8" w:space="0" w:color="auto"/>
            </w:tcBorders>
            <w:vAlign w:val="bottom"/>
          </w:tcPr>
          <w:p w14:paraId="12019485"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-20.2 to -4.7</w:t>
            </w:r>
          </w:p>
        </w:tc>
        <w:tc>
          <w:tcPr>
            <w:tcW w:w="960" w:type="dxa"/>
            <w:vMerge/>
            <w:tcBorders>
              <w:top w:val="nil"/>
              <w:left w:val="single" w:sz="8" w:space="0" w:color="auto"/>
              <w:bottom w:val="single" w:sz="8" w:space="0" w:color="000000"/>
              <w:right w:val="single" w:sz="8" w:space="0" w:color="auto"/>
            </w:tcBorders>
            <w:vAlign w:val="center"/>
          </w:tcPr>
          <w:p w14:paraId="61AB7A78" w14:textId="77777777" w:rsidR="00B17EF4" w:rsidRPr="00EC3875" w:rsidRDefault="00B17EF4" w:rsidP="00F87077">
            <w:pPr>
              <w:rPr>
                <w:rFonts w:ascii="Arial" w:eastAsia="Times New Roman" w:hAnsi="Arial" w:cs="Arial"/>
                <w:sz w:val="16"/>
                <w:szCs w:val="16"/>
              </w:rPr>
            </w:pPr>
          </w:p>
        </w:tc>
      </w:tr>
      <w:tr w:rsidR="00B17EF4" w:rsidRPr="00EC3875" w14:paraId="3576B12A" w14:textId="77777777" w:rsidTr="00F87077">
        <w:trPr>
          <w:cantSplit/>
          <w:trHeight w:val="255"/>
        </w:trPr>
        <w:tc>
          <w:tcPr>
            <w:tcW w:w="1360" w:type="dxa"/>
            <w:vMerge w:val="restart"/>
            <w:tcBorders>
              <w:top w:val="nil"/>
              <w:left w:val="single" w:sz="8" w:space="0" w:color="auto"/>
              <w:bottom w:val="single" w:sz="8" w:space="0" w:color="000000"/>
              <w:right w:val="single" w:sz="8" w:space="0" w:color="auto"/>
            </w:tcBorders>
            <w:shd w:val="clear" w:color="auto" w:fill="FFFFFF"/>
            <w:vAlign w:val="bottom"/>
          </w:tcPr>
          <w:p w14:paraId="5CED8215"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Anger</w:t>
            </w:r>
          </w:p>
        </w:tc>
        <w:tc>
          <w:tcPr>
            <w:tcW w:w="1760" w:type="dxa"/>
            <w:tcBorders>
              <w:top w:val="nil"/>
              <w:left w:val="nil"/>
              <w:bottom w:val="nil"/>
              <w:right w:val="single" w:sz="8" w:space="0" w:color="auto"/>
            </w:tcBorders>
            <w:vAlign w:val="bottom"/>
          </w:tcPr>
          <w:p w14:paraId="1EA44888"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-25.4±21.3, p=0.058</w:t>
            </w:r>
          </w:p>
        </w:tc>
        <w:tc>
          <w:tcPr>
            <w:tcW w:w="1760" w:type="dxa"/>
            <w:tcBorders>
              <w:top w:val="nil"/>
              <w:left w:val="nil"/>
              <w:bottom w:val="nil"/>
              <w:right w:val="single" w:sz="8" w:space="0" w:color="auto"/>
            </w:tcBorders>
            <w:vAlign w:val="bottom"/>
          </w:tcPr>
          <w:p w14:paraId="1F7F4846"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-9.3±27.4, p=0.398</w:t>
            </w:r>
          </w:p>
        </w:tc>
        <w:tc>
          <w:tcPr>
            <w:tcW w:w="1760" w:type="dxa"/>
            <w:tcBorders>
              <w:top w:val="nil"/>
              <w:left w:val="nil"/>
              <w:bottom w:val="nil"/>
              <w:right w:val="single" w:sz="8" w:space="0" w:color="auto"/>
            </w:tcBorders>
            <w:vAlign w:val="bottom"/>
          </w:tcPr>
          <w:p w14:paraId="7104681D"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-2.0±9.6, p=0.720</w:t>
            </w:r>
          </w:p>
        </w:tc>
        <w:tc>
          <w:tcPr>
            <w:tcW w:w="1760" w:type="dxa"/>
            <w:tcBorders>
              <w:top w:val="nil"/>
              <w:left w:val="nil"/>
              <w:bottom w:val="nil"/>
              <w:right w:val="single" w:sz="8" w:space="0" w:color="auto"/>
            </w:tcBorders>
            <w:vAlign w:val="bottom"/>
          </w:tcPr>
          <w:p w14:paraId="511B13B3"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-9.8±21.7, </w:t>
            </w:r>
            <w:r w:rsidRPr="00EC3875">
              <w:rPr>
                <w:rFonts w:ascii="Arial" w:eastAsia="Times New Roman" w:hAnsi="Arial" w:cs="Arial"/>
                <w:b/>
                <w:bCs/>
                <w:sz w:val="16"/>
                <w:szCs w:val="16"/>
              </w:rPr>
              <w:t>p=0.031</w:t>
            </w:r>
          </w:p>
        </w:tc>
        <w:tc>
          <w:tcPr>
            <w:tcW w:w="960" w:type="dxa"/>
            <w:vMerge w:val="restart"/>
            <w:tcBorders>
              <w:top w:val="nil"/>
              <w:left w:val="single" w:sz="8" w:space="0" w:color="auto"/>
              <w:bottom w:val="single" w:sz="8" w:space="0" w:color="000000"/>
              <w:right w:val="single" w:sz="8" w:space="0" w:color="auto"/>
            </w:tcBorders>
            <w:vAlign w:val="bottom"/>
          </w:tcPr>
          <w:p w14:paraId="16CF9AEA"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0.109</w:t>
            </w:r>
          </w:p>
        </w:tc>
      </w:tr>
      <w:tr w:rsidR="00B17EF4" w:rsidRPr="00EC3875" w14:paraId="19372E22" w14:textId="77777777" w:rsidTr="00F87077">
        <w:trPr>
          <w:trHeight w:val="270"/>
        </w:trPr>
        <w:tc>
          <w:tcPr>
            <w:tcW w:w="1360" w:type="dxa"/>
            <w:vMerge/>
            <w:tcBorders>
              <w:top w:val="nil"/>
              <w:left w:val="single" w:sz="8" w:space="0" w:color="auto"/>
              <w:bottom w:val="single" w:sz="8" w:space="0" w:color="000000"/>
              <w:right w:val="single" w:sz="8" w:space="0" w:color="auto"/>
            </w:tcBorders>
            <w:vAlign w:val="center"/>
          </w:tcPr>
          <w:p w14:paraId="25776DE7" w14:textId="77777777" w:rsidR="00B17EF4" w:rsidRPr="00EC3875" w:rsidRDefault="00B17EF4" w:rsidP="00F87077">
            <w:pPr>
              <w:rPr>
                <w:rFonts w:ascii="Arial" w:eastAsia="Times New Roman" w:hAnsi="Arial" w:cs="Arial"/>
                <w:b/>
                <w:bCs/>
                <w:sz w:val="16"/>
                <w:szCs w:val="16"/>
              </w:rPr>
            </w:pPr>
          </w:p>
        </w:tc>
        <w:tc>
          <w:tcPr>
            <w:tcW w:w="1760" w:type="dxa"/>
            <w:tcBorders>
              <w:top w:val="nil"/>
              <w:left w:val="nil"/>
              <w:bottom w:val="single" w:sz="8" w:space="0" w:color="auto"/>
              <w:right w:val="single" w:sz="8" w:space="0" w:color="auto"/>
            </w:tcBorders>
            <w:vAlign w:val="bottom"/>
          </w:tcPr>
          <w:p w14:paraId="71C001FE"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-45.1 to -5.8</w:t>
            </w:r>
          </w:p>
        </w:tc>
        <w:tc>
          <w:tcPr>
            <w:tcW w:w="1760" w:type="dxa"/>
            <w:tcBorders>
              <w:top w:val="nil"/>
              <w:left w:val="nil"/>
              <w:bottom w:val="single" w:sz="8" w:space="0" w:color="auto"/>
              <w:right w:val="single" w:sz="8" w:space="0" w:color="auto"/>
            </w:tcBorders>
            <w:vAlign w:val="bottom"/>
          </w:tcPr>
          <w:p w14:paraId="6E196DA0"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-26.7 to 8.2</w:t>
            </w:r>
          </w:p>
        </w:tc>
        <w:tc>
          <w:tcPr>
            <w:tcW w:w="1760" w:type="dxa"/>
            <w:tcBorders>
              <w:top w:val="nil"/>
              <w:left w:val="nil"/>
              <w:bottom w:val="single" w:sz="8" w:space="0" w:color="auto"/>
              <w:right w:val="single" w:sz="8" w:space="0" w:color="auto"/>
            </w:tcBorders>
            <w:vAlign w:val="bottom"/>
          </w:tcPr>
          <w:p w14:paraId="608F72CF"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-7.8 to 3.8</w:t>
            </w:r>
          </w:p>
        </w:tc>
        <w:tc>
          <w:tcPr>
            <w:tcW w:w="1760" w:type="dxa"/>
            <w:tcBorders>
              <w:top w:val="nil"/>
              <w:left w:val="nil"/>
              <w:bottom w:val="single" w:sz="8" w:space="0" w:color="auto"/>
              <w:right w:val="single" w:sz="8" w:space="0" w:color="auto"/>
            </w:tcBorders>
            <w:vAlign w:val="bottom"/>
          </w:tcPr>
          <w:p w14:paraId="7A344763"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-17.7 to -2.0</w:t>
            </w:r>
          </w:p>
        </w:tc>
        <w:tc>
          <w:tcPr>
            <w:tcW w:w="960" w:type="dxa"/>
            <w:vMerge/>
            <w:tcBorders>
              <w:top w:val="nil"/>
              <w:left w:val="single" w:sz="8" w:space="0" w:color="auto"/>
              <w:bottom w:val="single" w:sz="8" w:space="0" w:color="000000"/>
              <w:right w:val="single" w:sz="8" w:space="0" w:color="auto"/>
            </w:tcBorders>
            <w:vAlign w:val="center"/>
          </w:tcPr>
          <w:p w14:paraId="42A39926" w14:textId="77777777" w:rsidR="00B17EF4" w:rsidRPr="00EC3875" w:rsidRDefault="00B17EF4" w:rsidP="00F87077">
            <w:pPr>
              <w:rPr>
                <w:rFonts w:ascii="Arial" w:eastAsia="Times New Roman" w:hAnsi="Arial" w:cs="Arial"/>
                <w:sz w:val="16"/>
                <w:szCs w:val="16"/>
              </w:rPr>
            </w:pPr>
          </w:p>
        </w:tc>
      </w:tr>
      <w:tr w:rsidR="00B17EF4" w:rsidRPr="00EC3875" w14:paraId="7EFB83AB" w14:textId="77777777" w:rsidTr="00F87077">
        <w:trPr>
          <w:cantSplit/>
          <w:trHeight w:val="255"/>
        </w:trPr>
        <w:tc>
          <w:tcPr>
            <w:tcW w:w="1360" w:type="dxa"/>
            <w:vMerge w:val="restart"/>
            <w:tcBorders>
              <w:top w:val="nil"/>
              <w:left w:val="single" w:sz="8" w:space="0" w:color="auto"/>
              <w:bottom w:val="single" w:sz="8" w:space="0" w:color="000000"/>
              <w:right w:val="single" w:sz="8" w:space="0" w:color="auto"/>
            </w:tcBorders>
            <w:shd w:val="clear" w:color="auto" w:fill="FFFFFF"/>
            <w:vAlign w:val="bottom"/>
          </w:tcPr>
          <w:p w14:paraId="74F19455"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Happiness</w:t>
            </w:r>
          </w:p>
        </w:tc>
        <w:tc>
          <w:tcPr>
            <w:tcW w:w="1760" w:type="dxa"/>
            <w:tcBorders>
              <w:top w:val="nil"/>
              <w:left w:val="nil"/>
              <w:bottom w:val="nil"/>
              <w:right w:val="single" w:sz="8" w:space="0" w:color="auto"/>
            </w:tcBorders>
            <w:vAlign w:val="bottom"/>
          </w:tcPr>
          <w:p w14:paraId="72D473BE"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25.0±25.7, </w:t>
            </w:r>
            <w:r w:rsidRPr="00EC3875">
              <w:rPr>
                <w:rFonts w:ascii="Arial" w:eastAsia="Times New Roman" w:hAnsi="Arial" w:cs="Arial"/>
                <w:b/>
                <w:bCs/>
                <w:sz w:val="16"/>
                <w:szCs w:val="16"/>
              </w:rPr>
              <w:t>p=0.042</w:t>
            </w:r>
          </w:p>
        </w:tc>
        <w:tc>
          <w:tcPr>
            <w:tcW w:w="1760" w:type="dxa"/>
            <w:tcBorders>
              <w:top w:val="nil"/>
              <w:left w:val="nil"/>
              <w:bottom w:val="nil"/>
              <w:right w:val="single" w:sz="8" w:space="0" w:color="auto"/>
            </w:tcBorders>
            <w:vAlign w:val="bottom"/>
          </w:tcPr>
          <w:p w14:paraId="5B692B65"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27.6±21.5, </w:t>
            </w:r>
            <w:r w:rsidRPr="00EC3875">
              <w:rPr>
                <w:rFonts w:ascii="Arial" w:eastAsia="Times New Roman" w:hAnsi="Arial" w:cs="Arial"/>
                <w:b/>
                <w:bCs/>
                <w:sz w:val="16"/>
                <w:szCs w:val="16"/>
              </w:rPr>
              <w:t>p&lt;0.001</w:t>
            </w:r>
          </w:p>
        </w:tc>
        <w:tc>
          <w:tcPr>
            <w:tcW w:w="1760" w:type="dxa"/>
            <w:tcBorders>
              <w:top w:val="nil"/>
              <w:left w:val="nil"/>
              <w:bottom w:val="nil"/>
              <w:right w:val="single" w:sz="8" w:space="0" w:color="auto"/>
            </w:tcBorders>
            <w:vAlign w:val="bottom"/>
          </w:tcPr>
          <w:p w14:paraId="6CB2A6C4"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8.5±20.5, p=0.158</w:t>
            </w:r>
          </w:p>
        </w:tc>
        <w:tc>
          <w:tcPr>
            <w:tcW w:w="1760" w:type="dxa"/>
            <w:tcBorders>
              <w:top w:val="nil"/>
              <w:left w:val="nil"/>
              <w:bottom w:val="nil"/>
              <w:right w:val="single" w:sz="8" w:space="0" w:color="auto"/>
            </w:tcBorders>
            <w:vAlign w:val="bottom"/>
          </w:tcPr>
          <w:p w14:paraId="1CB4AEAF"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19.3±23.2, </w:t>
            </w:r>
            <w:r w:rsidRPr="00EC3875">
              <w:rPr>
                <w:rFonts w:ascii="Arial" w:eastAsia="Times New Roman" w:hAnsi="Arial" w:cs="Arial"/>
                <w:b/>
                <w:bCs/>
                <w:sz w:val="16"/>
                <w:szCs w:val="16"/>
              </w:rPr>
              <w:t>p&lt;0.001</w:t>
            </w:r>
          </w:p>
        </w:tc>
        <w:tc>
          <w:tcPr>
            <w:tcW w:w="960" w:type="dxa"/>
            <w:vMerge w:val="restart"/>
            <w:tcBorders>
              <w:top w:val="nil"/>
              <w:left w:val="single" w:sz="8" w:space="0" w:color="auto"/>
              <w:bottom w:val="single" w:sz="8" w:space="0" w:color="000000"/>
              <w:right w:val="single" w:sz="8" w:space="0" w:color="auto"/>
            </w:tcBorders>
            <w:vAlign w:val="bottom"/>
          </w:tcPr>
          <w:p w14:paraId="5A9E1E41"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0.089</w:t>
            </w:r>
          </w:p>
        </w:tc>
      </w:tr>
      <w:tr w:rsidR="00B17EF4" w:rsidRPr="00EC3875" w14:paraId="4CC39772" w14:textId="77777777" w:rsidTr="00F87077">
        <w:trPr>
          <w:trHeight w:val="270"/>
        </w:trPr>
        <w:tc>
          <w:tcPr>
            <w:tcW w:w="1360" w:type="dxa"/>
            <w:vMerge/>
            <w:tcBorders>
              <w:top w:val="nil"/>
              <w:left w:val="single" w:sz="8" w:space="0" w:color="auto"/>
              <w:bottom w:val="single" w:sz="8" w:space="0" w:color="000000"/>
              <w:right w:val="single" w:sz="8" w:space="0" w:color="auto"/>
            </w:tcBorders>
            <w:vAlign w:val="center"/>
          </w:tcPr>
          <w:p w14:paraId="11F73215" w14:textId="77777777" w:rsidR="00B17EF4" w:rsidRPr="00EC3875" w:rsidRDefault="00B17EF4" w:rsidP="00F87077">
            <w:pPr>
              <w:rPr>
                <w:rFonts w:ascii="Arial" w:eastAsia="Times New Roman" w:hAnsi="Arial" w:cs="Arial"/>
                <w:b/>
                <w:bCs/>
                <w:sz w:val="16"/>
                <w:szCs w:val="16"/>
              </w:rPr>
            </w:pPr>
          </w:p>
        </w:tc>
        <w:tc>
          <w:tcPr>
            <w:tcW w:w="1760" w:type="dxa"/>
            <w:tcBorders>
              <w:top w:val="nil"/>
              <w:left w:val="nil"/>
              <w:bottom w:val="single" w:sz="8" w:space="0" w:color="auto"/>
              <w:right w:val="single" w:sz="8" w:space="0" w:color="auto"/>
            </w:tcBorders>
            <w:vAlign w:val="bottom"/>
          </w:tcPr>
          <w:p w14:paraId="534905F3"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1.2 to 48.8</w:t>
            </w:r>
          </w:p>
        </w:tc>
        <w:tc>
          <w:tcPr>
            <w:tcW w:w="1760" w:type="dxa"/>
            <w:tcBorders>
              <w:top w:val="nil"/>
              <w:left w:val="nil"/>
              <w:bottom w:val="single" w:sz="8" w:space="0" w:color="auto"/>
              <w:right w:val="single" w:sz="8" w:space="0" w:color="auto"/>
            </w:tcBorders>
            <w:vAlign w:val="bottom"/>
          </w:tcPr>
          <w:p w14:paraId="33762F91"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13.9 to 41.3</w:t>
            </w:r>
          </w:p>
        </w:tc>
        <w:tc>
          <w:tcPr>
            <w:tcW w:w="1760" w:type="dxa"/>
            <w:tcBorders>
              <w:top w:val="nil"/>
              <w:left w:val="nil"/>
              <w:bottom w:val="single" w:sz="8" w:space="0" w:color="auto"/>
              <w:right w:val="single" w:sz="8" w:space="0" w:color="auto"/>
            </w:tcBorders>
            <w:vAlign w:val="bottom"/>
          </w:tcPr>
          <w:p w14:paraId="580BA3EB"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-3.8 to 20.9</w:t>
            </w:r>
          </w:p>
        </w:tc>
        <w:tc>
          <w:tcPr>
            <w:tcW w:w="1760" w:type="dxa"/>
            <w:tcBorders>
              <w:top w:val="nil"/>
              <w:left w:val="nil"/>
              <w:bottom w:val="single" w:sz="8" w:space="0" w:color="auto"/>
              <w:right w:val="single" w:sz="8" w:space="0" w:color="auto"/>
            </w:tcBorders>
            <w:vAlign w:val="bottom"/>
          </w:tcPr>
          <w:p w14:paraId="519C4AD5"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10.9 to 27.6</w:t>
            </w:r>
          </w:p>
        </w:tc>
        <w:tc>
          <w:tcPr>
            <w:tcW w:w="960" w:type="dxa"/>
            <w:vMerge/>
            <w:tcBorders>
              <w:top w:val="nil"/>
              <w:left w:val="single" w:sz="8" w:space="0" w:color="auto"/>
              <w:bottom w:val="single" w:sz="8" w:space="0" w:color="000000"/>
              <w:right w:val="single" w:sz="8" w:space="0" w:color="auto"/>
            </w:tcBorders>
            <w:vAlign w:val="center"/>
          </w:tcPr>
          <w:p w14:paraId="73EFACC3" w14:textId="77777777" w:rsidR="00B17EF4" w:rsidRPr="00EC3875" w:rsidRDefault="00B17EF4" w:rsidP="00F87077">
            <w:pPr>
              <w:rPr>
                <w:rFonts w:ascii="Arial" w:eastAsia="Times New Roman" w:hAnsi="Arial" w:cs="Arial"/>
                <w:sz w:val="16"/>
                <w:szCs w:val="16"/>
              </w:rPr>
            </w:pPr>
          </w:p>
        </w:tc>
      </w:tr>
      <w:tr w:rsidR="00B17EF4" w:rsidRPr="00EC3875" w14:paraId="022F7B8F" w14:textId="77777777" w:rsidTr="00F87077">
        <w:trPr>
          <w:cantSplit/>
          <w:trHeight w:val="255"/>
        </w:trPr>
        <w:tc>
          <w:tcPr>
            <w:tcW w:w="1360" w:type="dxa"/>
            <w:vMerge w:val="restart"/>
            <w:tcBorders>
              <w:top w:val="nil"/>
              <w:left w:val="single" w:sz="8" w:space="0" w:color="auto"/>
              <w:bottom w:val="single" w:sz="8" w:space="0" w:color="000000"/>
              <w:right w:val="single" w:sz="8" w:space="0" w:color="auto"/>
            </w:tcBorders>
            <w:shd w:val="clear" w:color="auto" w:fill="FFFFFF"/>
            <w:vAlign w:val="bottom"/>
          </w:tcPr>
          <w:p w14:paraId="0695CBC1"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Fatigue</w:t>
            </w:r>
          </w:p>
        </w:tc>
        <w:tc>
          <w:tcPr>
            <w:tcW w:w="1760" w:type="dxa"/>
            <w:tcBorders>
              <w:top w:val="nil"/>
              <w:left w:val="nil"/>
              <w:bottom w:val="nil"/>
              <w:right w:val="single" w:sz="8" w:space="0" w:color="auto"/>
            </w:tcBorders>
            <w:vAlign w:val="bottom"/>
          </w:tcPr>
          <w:p w14:paraId="3BB66EB3"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-35.9±19.1, </w:t>
            </w:r>
            <w:r w:rsidRPr="00EC3875">
              <w:rPr>
                <w:rFonts w:ascii="Arial" w:eastAsia="Times New Roman" w:hAnsi="Arial" w:cs="Arial"/>
                <w:b/>
                <w:bCs/>
                <w:sz w:val="16"/>
                <w:szCs w:val="16"/>
              </w:rPr>
              <w:t>p=0.003</w:t>
            </w:r>
          </w:p>
        </w:tc>
        <w:tc>
          <w:tcPr>
            <w:tcW w:w="1760" w:type="dxa"/>
            <w:tcBorders>
              <w:top w:val="nil"/>
              <w:left w:val="nil"/>
              <w:bottom w:val="nil"/>
              <w:right w:val="single" w:sz="8" w:space="0" w:color="auto"/>
            </w:tcBorders>
            <w:vAlign w:val="bottom"/>
          </w:tcPr>
          <w:p w14:paraId="60C19CB8"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-34.1±26.0, </w:t>
            </w:r>
            <w:r w:rsidRPr="00EC3875">
              <w:rPr>
                <w:rFonts w:ascii="Arial" w:eastAsia="Times New Roman" w:hAnsi="Arial" w:cs="Arial"/>
                <w:b/>
                <w:bCs/>
                <w:sz w:val="16"/>
                <w:szCs w:val="16"/>
              </w:rPr>
              <w:t>p&lt;0.001</w:t>
            </w:r>
          </w:p>
        </w:tc>
        <w:tc>
          <w:tcPr>
            <w:tcW w:w="1760" w:type="dxa"/>
            <w:tcBorders>
              <w:top w:val="nil"/>
              <w:left w:val="nil"/>
              <w:bottom w:val="nil"/>
              <w:right w:val="single" w:sz="8" w:space="0" w:color="auto"/>
            </w:tcBorders>
            <w:vAlign w:val="bottom"/>
          </w:tcPr>
          <w:p w14:paraId="7EA63AEC"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-7.8±19.1, p=0.164</w:t>
            </w:r>
          </w:p>
        </w:tc>
        <w:tc>
          <w:tcPr>
            <w:tcW w:w="1760" w:type="dxa"/>
            <w:tcBorders>
              <w:top w:val="nil"/>
              <w:left w:val="nil"/>
              <w:bottom w:val="nil"/>
              <w:right w:val="single" w:sz="8" w:space="0" w:color="auto"/>
            </w:tcBorders>
            <w:vAlign w:val="bottom"/>
          </w:tcPr>
          <w:p w14:paraId="4A2F6825"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-23.8±25.1, </w:t>
            </w:r>
            <w:r w:rsidRPr="00EC3875">
              <w:rPr>
                <w:rFonts w:ascii="Arial" w:eastAsia="Times New Roman" w:hAnsi="Arial" w:cs="Arial"/>
                <w:b/>
                <w:bCs/>
                <w:sz w:val="16"/>
                <w:szCs w:val="16"/>
              </w:rPr>
              <w:t>p&lt;0.001</w:t>
            </w:r>
          </w:p>
        </w:tc>
        <w:tc>
          <w:tcPr>
            <w:tcW w:w="960" w:type="dxa"/>
            <w:vMerge w:val="restart"/>
            <w:tcBorders>
              <w:top w:val="nil"/>
              <w:left w:val="single" w:sz="8" w:space="0" w:color="auto"/>
              <w:bottom w:val="single" w:sz="8" w:space="0" w:color="000000"/>
              <w:right w:val="single" w:sz="8" w:space="0" w:color="auto"/>
            </w:tcBorders>
            <w:vAlign w:val="bottom"/>
          </w:tcPr>
          <w:p w14:paraId="17BB2963"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0.008</w:t>
            </w:r>
          </w:p>
        </w:tc>
      </w:tr>
      <w:tr w:rsidR="00B17EF4" w:rsidRPr="00EC3875" w14:paraId="45A36EDE" w14:textId="77777777" w:rsidTr="00F87077">
        <w:trPr>
          <w:trHeight w:val="270"/>
        </w:trPr>
        <w:tc>
          <w:tcPr>
            <w:tcW w:w="1360" w:type="dxa"/>
            <w:vMerge/>
            <w:tcBorders>
              <w:top w:val="nil"/>
              <w:left w:val="single" w:sz="8" w:space="0" w:color="auto"/>
              <w:bottom w:val="single" w:sz="8" w:space="0" w:color="000000"/>
              <w:right w:val="single" w:sz="8" w:space="0" w:color="auto"/>
            </w:tcBorders>
            <w:vAlign w:val="center"/>
          </w:tcPr>
          <w:p w14:paraId="72A3C016" w14:textId="77777777" w:rsidR="00B17EF4" w:rsidRPr="00EC3875" w:rsidRDefault="00B17EF4" w:rsidP="00F87077">
            <w:pPr>
              <w:rPr>
                <w:rFonts w:ascii="Arial" w:eastAsia="Times New Roman" w:hAnsi="Arial" w:cs="Arial"/>
                <w:b/>
                <w:bCs/>
                <w:sz w:val="16"/>
                <w:szCs w:val="16"/>
              </w:rPr>
            </w:pPr>
          </w:p>
        </w:tc>
        <w:tc>
          <w:tcPr>
            <w:tcW w:w="1760" w:type="dxa"/>
            <w:tcBorders>
              <w:top w:val="nil"/>
              <w:left w:val="nil"/>
              <w:bottom w:val="single" w:sz="8" w:space="0" w:color="auto"/>
              <w:right w:val="single" w:sz="8" w:space="0" w:color="auto"/>
            </w:tcBorders>
            <w:vAlign w:val="bottom"/>
          </w:tcPr>
          <w:p w14:paraId="0F0D1378"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-53.5 to -18.2</w:t>
            </w:r>
          </w:p>
        </w:tc>
        <w:tc>
          <w:tcPr>
            <w:tcW w:w="1760" w:type="dxa"/>
            <w:tcBorders>
              <w:top w:val="nil"/>
              <w:left w:val="nil"/>
              <w:bottom w:val="single" w:sz="8" w:space="0" w:color="auto"/>
              <w:right w:val="single" w:sz="8" w:space="0" w:color="auto"/>
            </w:tcBorders>
            <w:vAlign w:val="bottom"/>
          </w:tcPr>
          <w:p w14:paraId="03B09660"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-50.6 to -17.5</w:t>
            </w:r>
          </w:p>
        </w:tc>
        <w:tc>
          <w:tcPr>
            <w:tcW w:w="1760" w:type="dxa"/>
            <w:tcBorders>
              <w:top w:val="nil"/>
              <w:left w:val="nil"/>
              <w:bottom w:val="single" w:sz="8" w:space="0" w:color="auto"/>
              <w:right w:val="single" w:sz="8" w:space="0" w:color="auto"/>
            </w:tcBorders>
            <w:vAlign w:val="bottom"/>
          </w:tcPr>
          <w:p w14:paraId="288581B2"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-19.4 to 3.7</w:t>
            </w:r>
          </w:p>
        </w:tc>
        <w:tc>
          <w:tcPr>
            <w:tcW w:w="1760" w:type="dxa"/>
            <w:tcBorders>
              <w:top w:val="nil"/>
              <w:left w:val="nil"/>
              <w:bottom w:val="single" w:sz="8" w:space="0" w:color="auto"/>
              <w:right w:val="single" w:sz="8" w:space="0" w:color="auto"/>
            </w:tcBorders>
            <w:vAlign w:val="bottom"/>
          </w:tcPr>
          <w:p w14:paraId="24CD5292"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-32.9 to -14.7</w:t>
            </w:r>
          </w:p>
        </w:tc>
        <w:tc>
          <w:tcPr>
            <w:tcW w:w="960" w:type="dxa"/>
            <w:vMerge/>
            <w:tcBorders>
              <w:top w:val="nil"/>
              <w:left w:val="single" w:sz="8" w:space="0" w:color="auto"/>
              <w:bottom w:val="single" w:sz="8" w:space="0" w:color="000000"/>
              <w:right w:val="single" w:sz="8" w:space="0" w:color="auto"/>
            </w:tcBorders>
            <w:vAlign w:val="center"/>
          </w:tcPr>
          <w:p w14:paraId="73E57AC3" w14:textId="77777777" w:rsidR="00B17EF4" w:rsidRPr="00EC3875" w:rsidRDefault="00B17EF4" w:rsidP="00F87077">
            <w:pPr>
              <w:rPr>
                <w:rFonts w:ascii="Arial" w:eastAsia="Times New Roman" w:hAnsi="Arial" w:cs="Arial"/>
                <w:b/>
                <w:bCs/>
                <w:sz w:val="16"/>
                <w:szCs w:val="16"/>
              </w:rPr>
            </w:pPr>
          </w:p>
        </w:tc>
      </w:tr>
      <w:tr w:rsidR="00B17EF4" w:rsidRPr="00EC3875" w14:paraId="0CD49F53" w14:textId="77777777" w:rsidTr="00F87077">
        <w:trPr>
          <w:cantSplit/>
          <w:trHeight w:val="255"/>
        </w:trPr>
        <w:tc>
          <w:tcPr>
            <w:tcW w:w="1360" w:type="dxa"/>
            <w:vMerge w:val="restart"/>
            <w:tcBorders>
              <w:top w:val="nil"/>
              <w:left w:val="single" w:sz="8" w:space="0" w:color="auto"/>
              <w:bottom w:val="single" w:sz="8" w:space="0" w:color="000000"/>
              <w:right w:val="single" w:sz="8" w:space="0" w:color="auto"/>
            </w:tcBorders>
            <w:shd w:val="clear" w:color="auto" w:fill="FFFFFF"/>
            <w:vAlign w:val="bottom"/>
          </w:tcPr>
          <w:p w14:paraId="29E1275F"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Anxiety</w:t>
            </w:r>
          </w:p>
        </w:tc>
        <w:tc>
          <w:tcPr>
            <w:tcW w:w="1760" w:type="dxa"/>
            <w:tcBorders>
              <w:top w:val="nil"/>
              <w:left w:val="nil"/>
              <w:bottom w:val="nil"/>
              <w:right w:val="single" w:sz="8" w:space="0" w:color="auto"/>
            </w:tcBorders>
            <w:vAlign w:val="bottom"/>
          </w:tcPr>
          <w:p w14:paraId="3DB0307E"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-16.7±17.8, p=0.059</w:t>
            </w:r>
          </w:p>
        </w:tc>
        <w:tc>
          <w:tcPr>
            <w:tcW w:w="1760" w:type="dxa"/>
            <w:tcBorders>
              <w:top w:val="nil"/>
              <w:left w:val="nil"/>
              <w:bottom w:val="nil"/>
              <w:right w:val="single" w:sz="8" w:space="0" w:color="auto"/>
            </w:tcBorders>
            <w:vAlign w:val="bottom"/>
          </w:tcPr>
          <w:p w14:paraId="2B412878"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-12.6±24.6, p=0.052</w:t>
            </w:r>
          </w:p>
        </w:tc>
        <w:tc>
          <w:tcPr>
            <w:tcW w:w="1760" w:type="dxa"/>
            <w:tcBorders>
              <w:top w:val="nil"/>
              <w:left w:val="nil"/>
              <w:bottom w:val="nil"/>
              <w:right w:val="single" w:sz="8" w:space="0" w:color="auto"/>
            </w:tcBorders>
            <w:vAlign w:val="bottom"/>
          </w:tcPr>
          <w:p w14:paraId="7DBA3D23"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-5.4±17.8, p=0.294</w:t>
            </w:r>
          </w:p>
        </w:tc>
        <w:tc>
          <w:tcPr>
            <w:tcW w:w="1760" w:type="dxa"/>
            <w:tcBorders>
              <w:top w:val="nil"/>
              <w:left w:val="nil"/>
              <w:bottom w:val="nil"/>
              <w:right w:val="single" w:sz="8" w:space="0" w:color="auto"/>
            </w:tcBorders>
            <w:vAlign w:val="bottom"/>
          </w:tcPr>
          <w:p w14:paraId="6CC854BC"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-10.6±20.5, </w:t>
            </w:r>
            <w:r w:rsidRPr="00EC3875">
              <w:rPr>
                <w:rFonts w:ascii="Arial" w:eastAsia="Times New Roman" w:hAnsi="Arial" w:cs="Arial"/>
                <w:b/>
                <w:bCs/>
                <w:sz w:val="16"/>
                <w:szCs w:val="16"/>
              </w:rPr>
              <w:t>p=0.003</w:t>
            </w:r>
          </w:p>
        </w:tc>
        <w:tc>
          <w:tcPr>
            <w:tcW w:w="960" w:type="dxa"/>
            <w:vMerge w:val="restart"/>
            <w:tcBorders>
              <w:top w:val="nil"/>
              <w:left w:val="single" w:sz="8" w:space="0" w:color="auto"/>
              <w:bottom w:val="single" w:sz="8" w:space="0" w:color="000000"/>
              <w:right w:val="single" w:sz="8" w:space="0" w:color="auto"/>
            </w:tcBorders>
            <w:vAlign w:val="bottom"/>
          </w:tcPr>
          <w:p w14:paraId="5C679539"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0.342</w:t>
            </w:r>
          </w:p>
        </w:tc>
      </w:tr>
      <w:tr w:rsidR="00B17EF4" w:rsidRPr="00EC3875" w14:paraId="0BA5B371" w14:textId="77777777" w:rsidTr="00F87077">
        <w:trPr>
          <w:trHeight w:val="270"/>
        </w:trPr>
        <w:tc>
          <w:tcPr>
            <w:tcW w:w="1360" w:type="dxa"/>
            <w:vMerge/>
            <w:tcBorders>
              <w:top w:val="nil"/>
              <w:left w:val="single" w:sz="8" w:space="0" w:color="auto"/>
              <w:bottom w:val="single" w:sz="8" w:space="0" w:color="000000"/>
              <w:right w:val="single" w:sz="8" w:space="0" w:color="auto"/>
            </w:tcBorders>
            <w:vAlign w:val="center"/>
          </w:tcPr>
          <w:p w14:paraId="53F0F10B" w14:textId="77777777" w:rsidR="00B17EF4" w:rsidRPr="00EC3875" w:rsidRDefault="00B17EF4" w:rsidP="00F87077">
            <w:pPr>
              <w:rPr>
                <w:rFonts w:ascii="Arial" w:eastAsia="Times New Roman" w:hAnsi="Arial" w:cs="Arial"/>
                <w:b/>
                <w:bCs/>
                <w:sz w:val="16"/>
                <w:szCs w:val="16"/>
              </w:rPr>
            </w:pPr>
          </w:p>
        </w:tc>
        <w:tc>
          <w:tcPr>
            <w:tcW w:w="1760" w:type="dxa"/>
            <w:tcBorders>
              <w:top w:val="nil"/>
              <w:left w:val="nil"/>
              <w:bottom w:val="single" w:sz="8" w:space="0" w:color="auto"/>
              <w:right w:val="single" w:sz="8" w:space="0" w:color="auto"/>
            </w:tcBorders>
            <w:vAlign w:val="bottom"/>
          </w:tcPr>
          <w:p w14:paraId="5D5C0E2F"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-33.2 to -0.2</w:t>
            </w:r>
          </w:p>
        </w:tc>
        <w:tc>
          <w:tcPr>
            <w:tcW w:w="1760" w:type="dxa"/>
            <w:tcBorders>
              <w:top w:val="nil"/>
              <w:left w:val="nil"/>
              <w:bottom w:val="single" w:sz="8" w:space="0" w:color="auto"/>
              <w:right w:val="single" w:sz="8" w:space="0" w:color="auto"/>
            </w:tcBorders>
            <w:vAlign w:val="bottom"/>
          </w:tcPr>
          <w:p w14:paraId="2F98FD16"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-28.2 to 3.0</w:t>
            </w:r>
          </w:p>
        </w:tc>
        <w:tc>
          <w:tcPr>
            <w:tcW w:w="1760" w:type="dxa"/>
            <w:tcBorders>
              <w:top w:val="nil"/>
              <w:left w:val="nil"/>
              <w:bottom w:val="single" w:sz="8" w:space="0" w:color="auto"/>
              <w:right w:val="single" w:sz="8" w:space="0" w:color="auto"/>
            </w:tcBorders>
            <w:vAlign w:val="bottom"/>
          </w:tcPr>
          <w:p w14:paraId="1B3210EF"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-16.1 to 5.4</w:t>
            </w:r>
          </w:p>
        </w:tc>
        <w:tc>
          <w:tcPr>
            <w:tcW w:w="1760" w:type="dxa"/>
            <w:tcBorders>
              <w:top w:val="nil"/>
              <w:left w:val="nil"/>
              <w:bottom w:val="single" w:sz="8" w:space="0" w:color="auto"/>
              <w:right w:val="single" w:sz="8" w:space="0" w:color="auto"/>
            </w:tcBorders>
            <w:vAlign w:val="bottom"/>
          </w:tcPr>
          <w:p w14:paraId="6AC04F6D"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-17.9 to -3.2</w:t>
            </w:r>
          </w:p>
        </w:tc>
        <w:tc>
          <w:tcPr>
            <w:tcW w:w="960" w:type="dxa"/>
            <w:vMerge/>
            <w:tcBorders>
              <w:top w:val="nil"/>
              <w:left w:val="single" w:sz="8" w:space="0" w:color="auto"/>
              <w:bottom w:val="single" w:sz="8" w:space="0" w:color="000000"/>
              <w:right w:val="single" w:sz="8" w:space="0" w:color="auto"/>
            </w:tcBorders>
            <w:vAlign w:val="center"/>
          </w:tcPr>
          <w:p w14:paraId="6EB4080C" w14:textId="77777777" w:rsidR="00B17EF4" w:rsidRPr="00EC3875" w:rsidRDefault="00B17EF4" w:rsidP="00F87077">
            <w:pPr>
              <w:rPr>
                <w:rFonts w:ascii="Arial" w:eastAsia="Times New Roman" w:hAnsi="Arial" w:cs="Arial"/>
                <w:sz w:val="16"/>
                <w:szCs w:val="16"/>
              </w:rPr>
            </w:pPr>
          </w:p>
        </w:tc>
      </w:tr>
      <w:tr w:rsidR="00B17EF4" w:rsidRPr="00EC3875" w14:paraId="7096FA1B" w14:textId="77777777" w:rsidTr="00F87077">
        <w:trPr>
          <w:cantSplit/>
          <w:trHeight w:val="255"/>
        </w:trPr>
        <w:tc>
          <w:tcPr>
            <w:tcW w:w="1360" w:type="dxa"/>
            <w:tcBorders>
              <w:top w:val="nil"/>
              <w:left w:val="single" w:sz="8" w:space="0" w:color="auto"/>
              <w:bottom w:val="nil"/>
              <w:right w:val="single" w:sz="8" w:space="0" w:color="auto"/>
            </w:tcBorders>
            <w:shd w:val="clear" w:color="auto" w:fill="FFFFFF"/>
            <w:vAlign w:val="bottom"/>
          </w:tcPr>
          <w:p w14:paraId="6EE1ABEC"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Simple</w:t>
            </w:r>
          </w:p>
        </w:tc>
        <w:tc>
          <w:tcPr>
            <w:tcW w:w="1760" w:type="dxa"/>
            <w:tcBorders>
              <w:top w:val="nil"/>
              <w:left w:val="nil"/>
              <w:bottom w:val="nil"/>
              <w:right w:val="single" w:sz="8" w:space="0" w:color="auto"/>
            </w:tcBorders>
            <w:vAlign w:val="bottom"/>
          </w:tcPr>
          <w:p w14:paraId="628D6D93"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64±30, </w:t>
            </w:r>
            <w:r w:rsidRPr="00EC3875">
              <w:rPr>
                <w:rFonts w:ascii="Arial" w:eastAsia="Times New Roman" w:hAnsi="Arial" w:cs="Arial"/>
                <w:b/>
                <w:bCs/>
                <w:sz w:val="16"/>
                <w:szCs w:val="16"/>
              </w:rPr>
              <w:t>p=0.001</w:t>
            </w:r>
          </w:p>
        </w:tc>
        <w:tc>
          <w:tcPr>
            <w:tcW w:w="1760" w:type="dxa"/>
            <w:tcBorders>
              <w:top w:val="nil"/>
              <w:left w:val="nil"/>
              <w:bottom w:val="nil"/>
              <w:right w:val="single" w:sz="8" w:space="0" w:color="auto"/>
            </w:tcBorders>
            <w:vAlign w:val="bottom"/>
          </w:tcPr>
          <w:p w14:paraId="66B18F85"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17±30, p=0.068</w:t>
            </w:r>
          </w:p>
        </w:tc>
        <w:tc>
          <w:tcPr>
            <w:tcW w:w="1760" w:type="dxa"/>
            <w:tcBorders>
              <w:top w:val="nil"/>
              <w:left w:val="nil"/>
              <w:bottom w:val="nil"/>
              <w:right w:val="single" w:sz="8" w:space="0" w:color="auto"/>
            </w:tcBorders>
            <w:vAlign w:val="bottom"/>
          </w:tcPr>
          <w:p w14:paraId="44DBC977"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13±19, </w:t>
            </w:r>
            <w:r w:rsidRPr="00EC3875">
              <w:rPr>
                <w:rFonts w:ascii="Arial" w:eastAsia="Times New Roman" w:hAnsi="Arial" w:cs="Arial"/>
                <w:b/>
                <w:bCs/>
                <w:sz w:val="16"/>
                <w:szCs w:val="16"/>
              </w:rPr>
              <w:t>p=0.027</w:t>
            </w:r>
          </w:p>
        </w:tc>
        <w:tc>
          <w:tcPr>
            <w:tcW w:w="1760" w:type="dxa"/>
            <w:tcBorders>
              <w:top w:val="nil"/>
              <w:left w:val="nil"/>
              <w:bottom w:val="nil"/>
              <w:right w:val="single" w:sz="8" w:space="0" w:color="auto"/>
            </w:tcBorders>
            <w:vAlign w:val="bottom"/>
          </w:tcPr>
          <w:p w14:paraId="3ECCC681"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26±32, </w:t>
            </w:r>
            <w:r w:rsidRPr="00EC3875">
              <w:rPr>
                <w:rFonts w:ascii="Arial" w:eastAsia="Times New Roman" w:hAnsi="Arial" w:cs="Arial"/>
                <w:b/>
                <w:bCs/>
                <w:sz w:val="16"/>
                <w:szCs w:val="16"/>
              </w:rPr>
              <w:t>p&lt;0.001</w:t>
            </w:r>
          </w:p>
        </w:tc>
        <w:tc>
          <w:tcPr>
            <w:tcW w:w="960" w:type="dxa"/>
            <w:vMerge w:val="restart"/>
            <w:tcBorders>
              <w:top w:val="nil"/>
              <w:left w:val="single" w:sz="8" w:space="0" w:color="auto"/>
              <w:bottom w:val="single" w:sz="8" w:space="0" w:color="000000"/>
              <w:right w:val="single" w:sz="8" w:space="0" w:color="auto"/>
            </w:tcBorders>
            <w:vAlign w:val="bottom"/>
          </w:tcPr>
          <w:p w14:paraId="50E80865"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&lt; 0.001</w:t>
            </w:r>
          </w:p>
        </w:tc>
      </w:tr>
      <w:tr w:rsidR="00B17EF4" w:rsidRPr="00EC3875" w14:paraId="3BE6CB99" w14:textId="77777777" w:rsidTr="00F87077">
        <w:trPr>
          <w:trHeight w:val="270"/>
        </w:trPr>
        <w:tc>
          <w:tcPr>
            <w:tcW w:w="1360" w:type="dxa"/>
            <w:tcBorders>
              <w:top w:val="nil"/>
              <w:left w:val="single" w:sz="8" w:space="0" w:color="auto"/>
              <w:bottom w:val="single" w:sz="8" w:space="0" w:color="auto"/>
              <w:right w:val="single" w:sz="8" w:space="0" w:color="auto"/>
            </w:tcBorders>
            <w:shd w:val="clear" w:color="auto" w:fill="FFFFFF"/>
            <w:vAlign w:val="bottom"/>
          </w:tcPr>
          <w:p w14:paraId="6B05E1D4"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Reaction Time</w:t>
            </w:r>
          </w:p>
        </w:tc>
        <w:tc>
          <w:tcPr>
            <w:tcW w:w="1760" w:type="dxa"/>
            <w:tcBorders>
              <w:top w:val="nil"/>
              <w:left w:val="nil"/>
              <w:bottom w:val="single" w:sz="8" w:space="0" w:color="auto"/>
              <w:right w:val="single" w:sz="8" w:space="0" w:color="auto"/>
            </w:tcBorders>
            <w:vAlign w:val="bottom"/>
          </w:tcPr>
          <w:p w14:paraId="5BB58451"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36 to 92</w:t>
            </w:r>
          </w:p>
        </w:tc>
        <w:tc>
          <w:tcPr>
            <w:tcW w:w="1760" w:type="dxa"/>
            <w:tcBorders>
              <w:top w:val="nil"/>
              <w:left w:val="nil"/>
              <w:bottom w:val="single" w:sz="8" w:space="0" w:color="auto"/>
              <w:right w:val="single" w:sz="8" w:space="0" w:color="auto"/>
            </w:tcBorders>
            <w:vAlign w:val="bottom"/>
          </w:tcPr>
          <w:p w14:paraId="5DA1EC78"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-2 to 36</w:t>
            </w:r>
          </w:p>
        </w:tc>
        <w:tc>
          <w:tcPr>
            <w:tcW w:w="1760" w:type="dxa"/>
            <w:tcBorders>
              <w:top w:val="nil"/>
              <w:left w:val="nil"/>
              <w:bottom w:val="single" w:sz="8" w:space="0" w:color="auto"/>
              <w:right w:val="single" w:sz="8" w:space="0" w:color="auto"/>
            </w:tcBorders>
            <w:vAlign w:val="bottom"/>
          </w:tcPr>
          <w:p w14:paraId="27F997A7"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2 to 25</w:t>
            </w:r>
          </w:p>
        </w:tc>
        <w:tc>
          <w:tcPr>
            <w:tcW w:w="1760" w:type="dxa"/>
            <w:tcBorders>
              <w:top w:val="nil"/>
              <w:left w:val="nil"/>
              <w:bottom w:val="single" w:sz="8" w:space="0" w:color="auto"/>
              <w:right w:val="single" w:sz="8" w:space="0" w:color="auto"/>
            </w:tcBorders>
            <w:vAlign w:val="bottom"/>
          </w:tcPr>
          <w:p w14:paraId="2D3BB643"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14 to 38</w:t>
            </w:r>
          </w:p>
        </w:tc>
        <w:tc>
          <w:tcPr>
            <w:tcW w:w="960" w:type="dxa"/>
            <w:vMerge/>
            <w:tcBorders>
              <w:top w:val="nil"/>
              <w:left w:val="single" w:sz="8" w:space="0" w:color="auto"/>
              <w:bottom w:val="single" w:sz="8" w:space="0" w:color="000000"/>
              <w:right w:val="single" w:sz="8" w:space="0" w:color="auto"/>
            </w:tcBorders>
            <w:vAlign w:val="center"/>
          </w:tcPr>
          <w:p w14:paraId="66CC04F3" w14:textId="77777777" w:rsidR="00B17EF4" w:rsidRPr="00EC3875" w:rsidRDefault="00B17EF4" w:rsidP="00F87077">
            <w:pPr>
              <w:rPr>
                <w:rFonts w:ascii="Arial" w:eastAsia="Times New Roman" w:hAnsi="Arial" w:cs="Arial"/>
                <w:b/>
                <w:bCs/>
                <w:sz w:val="16"/>
                <w:szCs w:val="16"/>
              </w:rPr>
            </w:pPr>
          </w:p>
        </w:tc>
      </w:tr>
      <w:tr w:rsidR="00B17EF4" w:rsidRPr="00EC3875" w14:paraId="0F9FE99E" w14:textId="77777777" w:rsidTr="00F87077">
        <w:trPr>
          <w:cantSplit/>
          <w:trHeight w:val="255"/>
        </w:trPr>
        <w:tc>
          <w:tcPr>
            <w:tcW w:w="1360" w:type="dxa"/>
            <w:tcBorders>
              <w:top w:val="nil"/>
              <w:left w:val="single" w:sz="8" w:space="0" w:color="auto"/>
              <w:bottom w:val="nil"/>
              <w:right w:val="single" w:sz="8" w:space="0" w:color="auto"/>
            </w:tcBorders>
            <w:shd w:val="clear" w:color="auto" w:fill="FFFFFF"/>
            <w:vAlign w:val="bottom"/>
          </w:tcPr>
          <w:p w14:paraId="201D86F3"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Code Subst.</w:t>
            </w:r>
          </w:p>
        </w:tc>
        <w:tc>
          <w:tcPr>
            <w:tcW w:w="1760" w:type="dxa"/>
            <w:tcBorders>
              <w:top w:val="nil"/>
              <w:left w:val="nil"/>
              <w:bottom w:val="nil"/>
              <w:right w:val="single" w:sz="8" w:space="0" w:color="auto"/>
            </w:tcBorders>
            <w:vAlign w:val="bottom"/>
          </w:tcPr>
          <w:p w14:paraId="27CECE01"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40.7±29.5, </w:t>
            </w:r>
            <w:r w:rsidRPr="00EC3875">
              <w:rPr>
                <w:rFonts w:ascii="Arial" w:eastAsia="Times New Roman" w:hAnsi="Arial" w:cs="Arial"/>
                <w:b/>
                <w:bCs/>
                <w:sz w:val="16"/>
                <w:szCs w:val="16"/>
              </w:rPr>
              <w:t>p=0.011</w:t>
            </w:r>
          </w:p>
        </w:tc>
        <w:tc>
          <w:tcPr>
            <w:tcW w:w="1760" w:type="dxa"/>
            <w:tcBorders>
              <w:top w:val="nil"/>
              <w:left w:val="nil"/>
              <w:bottom w:val="nil"/>
              <w:right w:val="single" w:sz="8" w:space="0" w:color="auto"/>
            </w:tcBorders>
            <w:vAlign w:val="bottom"/>
          </w:tcPr>
          <w:p w14:paraId="43C1B8E8"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16.8±27.4, p=0.057</w:t>
            </w:r>
          </w:p>
        </w:tc>
        <w:tc>
          <w:tcPr>
            <w:tcW w:w="1760" w:type="dxa"/>
            <w:tcBorders>
              <w:top w:val="nil"/>
              <w:left w:val="nil"/>
              <w:bottom w:val="nil"/>
              <w:right w:val="single" w:sz="8" w:space="0" w:color="auto"/>
            </w:tcBorders>
            <w:vAlign w:val="bottom"/>
          </w:tcPr>
          <w:p w14:paraId="79DF6D20"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14.2±21.9, </w:t>
            </w:r>
            <w:r w:rsidRPr="00EC3875">
              <w:rPr>
                <w:rFonts w:ascii="Arial" w:eastAsia="Times New Roman" w:hAnsi="Arial" w:cs="Arial"/>
                <w:b/>
                <w:bCs/>
                <w:sz w:val="16"/>
                <w:szCs w:val="16"/>
              </w:rPr>
              <w:t>p=0.047</w:t>
            </w:r>
          </w:p>
        </w:tc>
        <w:tc>
          <w:tcPr>
            <w:tcW w:w="1760" w:type="dxa"/>
            <w:tcBorders>
              <w:top w:val="nil"/>
              <w:left w:val="nil"/>
              <w:bottom w:val="nil"/>
              <w:right w:val="single" w:sz="8" w:space="0" w:color="auto"/>
            </w:tcBorders>
            <w:vAlign w:val="bottom"/>
          </w:tcPr>
          <w:p w14:paraId="0B6A6475"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21.2±27.2, </w:t>
            </w:r>
            <w:r w:rsidRPr="00EC3875">
              <w:rPr>
                <w:rFonts w:ascii="Arial" w:eastAsia="Times New Roman" w:hAnsi="Arial" w:cs="Arial"/>
                <w:b/>
                <w:bCs/>
                <w:sz w:val="16"/>
                <w:szCs w:val="16"/>
              </w:rPr>
              <w:t>p&lt;0.001</w:t>
            </w:r>
          </w:p>
        </w:tc>
        <w:tc>
          <w:tcPr>
            <w:tcW w:w="960" w:type="dxa"/>
            <w:vMerge w:val="restart"/>
            <w:tcBorders>
              <w:top w:val="nil"/>
              <w:left w:val="single" w:sz="8" w:space="0" w:color="auto"/>
              <w:bottom w:val="single" w:sz="8" w:space="0" w:color="000000"/>
              <w:right w:val="single" w:sz="8" w:space="0" w:color="auto"/>
            </w:tcBorders>
            <w:vAlign w:val="bottom"/>
          </w:tcPr>
          <w:p w14:paraId="0B9C8B7D"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0.092</w:t>
            </w:r>
          </w:p>
        </w:tc>
      </w:tr>
      <w:tr w:rsidR="00B17EF4" w:rsidRPr="00EC3875" w14:paraId="127A3D6A" w14:textId="77777777" w:rsidTr="00F87077">
        <w:trPr>
          <w:trHeight w:val="270"/>
        </w:trPr>
        <w:tc>
          <w:tcPr>
            <w:tcW w:w="1360" w:type="dxa"/>
            <w:tcBorders>
              <w:top w:val="nil"/>
              <w:left w:val="single" w:sz="8" w:space="0" w:color="auto"/>
              <w:bottom w:val="single" w:sz="8" w:space="0" w:color="auto"/>
              <w:right w:val="single" w:sz="8" w:space="0" w:color="auto"/>
            </w:tcBorders>
            <w:shd w:val="clear" w:color="auto" w:fill="FFFFFF"/>
            <w:vAlign w:val="bottom"/>
          </w:tcPr>
          <w:p w14:paraId="04D21683"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Learning</w:t>
            </w:r>
          </w:p>
        </w:tc>
        <w:tc>
          <w:tcPr>
            <w:tcW w:w="1760" w:type="dxa"/>
            <w:tcBorders>
              <w:top w:val="nil"/>
              <w:left w:val="nil"/>
              <w:bottom w:val="single" w:sz="8" w:space="0" w:color="auto"/>
              <w:right w:val="single" w:sz="8" w:space="0" w:color="auto"/>
            </w:tcBorders>
            <w:vAlign w:val="bottom"/>
          </w:tcPr>
          <w:p w14:paraId="0AB65757"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13.4 to 68.0</w:t>
            </w:r>
          </w:p>
        </w:tc>
        <w:tc>
          <w:tcPr>
            <w:tcW w:w="1760" w:type="dxa"/>
            <w:tcBorders>
              <w:top w:val="nil"/>
              <w:left w:val="nil"/>
              <w:bottom w:val="single" w:sz="8" w:space="0" w:color="auto"/>
              <w:right w:val="single" w:sz="8" w:space="0" w:color="auto"/>
            </w:tcBorders>
            <w:vAlign w:val="bottom"/>
          </w:tcPr>
          <w:p w14:paraId="10415D7B"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-0.6 to 34.3</w:t>
            </w:r>
          </w:p>
        </w:tc>
        <w:tc>
          <w:tcPr>
            <w:tcW w:w="1760" w:type="dxa"/>
            <w:tcBorders>
              <w:top w:val="nil"/>
              <w:left w:val="nil"/>
              <w:bottom w:val="single" w:sz="8" w:space="0" w:color="auto"/>
              <w:right w:val="single" w:sz="8" w:space="0" w:color="auto"/>
            </w:tcBorders>
            <w:vAlign w:val="bottom"/>
          </w:tcPr>
          <w:p w14:paraId="36ABE5FD"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0.2 to 28.1</w:t>
            </w:r>
          </w:p>
        </w:tc>
        <w:tc>
          <w:tcPr>
            <w:tcW w:w="1760" w:type="dxa"/>
            <w:tcBorders>
              <w:top w:val="nil"/>
              <w:left w:val="nil"/>
              <w:bottom w:val="single" w:sz="8" w:space="0" w:color="auto"/>
              <w:right w:val="single" w:sz="8" w:space="0" w:color="auto"/>
            </w:tcBorders>
            <w:vAlign w:val="bottom"/>
          </w:tcPr>
          <w:p w14:paraId="7BA2FE7D"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11.2 to 31.2</w:t>
            </w:r>
          </w:p>
        </w:tc>
        <w:tc>
          <w:tcPr>
            <w:tcW w:w="960" w:type="dxa"/>
            <w:vMerge/>
            <w:tcBorders>
              <w:top w:val="nil"/>
              <w:left w:val="single" w:sz="8" w:space="0" w:color="auto"/>
              <w:bottom w:val="single" w:sz="8" w:space="0" w:color="000000"/>
              <w:right w:val="single" w:sz="8" w:space="0" w:color="auto"/>
            </w:tcBorders>
            <w:vAlign w:val="center"/>
          </w:tcPr>
          <w:p w14:paraId="3709EA9C" w14:textId="77777777" w:rsidR="00B17EF4" w:rsidRPr="00EC3875" w:rsidRDefault="00B17EF4" w:rsidP="00F87077">
            <w:pPr>
              <w:rPr>
                <w:rFonts w:ascii="Arial" w:eastAsia="Times New Roman" w:hAnsi="Arial" w:cs="Arial"/>
                <w:sz w:val="16"/>
                <w:szCs w:val="16"/>
              </w:rPr>
            </w:pPr>
          </w:p>
        </w:tc>
      </w:tr>
      <w:tr w:rsidR="00B17EF4" w:rsidRPr="00EC3875" w14:paraId="61CCD3E0" w14:textId="77777777" w:rsidTr="00F87077">
        <w:trPr>
          <w:cantSplit/>
          <w:trHeight w:val="255"/>
        </w:trPr>
        <w:tc>
          <w:tcPr>
            <w:tcW w:w="1360" w:type="dxa"/>
            <w:tcBorders>
              <w:top w:val="nil"/>
              <w:left w:val="single" w:sz="8" w:space="0" w:color="auto"/>
              <w:bottom w:val="nil"/>
              <w:right w:val="single" w:sz="8" w:space="0" w:color="auto"/>
            </w:tcBorders>
            <w:shd w:val="clear" w:color="auto" w:fill="FFFFFF"/>
            <w:vAlign w:val="bottom"/>
          </w:tcPr>
          <w:p w14:paraId="7692BDB5"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Procedural</w:t>
            </w:r>
          </w:p>
        </w:tc>
        <w:tc>
          <w:tcPr>
            <w:tcW w:w="1760" w:type="dxa"/>
            <w:tcBorders>
              <w:top w:val="nil"/>
              <w:left w:val="nil"/>
              <w:bottom w:val="nil"/>
              <w:right w:val="single" w:sz="8" w:space="0" w:color="auto"/>
            </w:tcBorders>
            <w:vAlign w:val="bottom"/>
          </w:tcPr>
          <w:p w14:paraId="7684BD6A"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67±18, </w:t>
            </w:r>
            <w:r w:rsidRPr="00EC3875">
              <w:rPr>
                <w:rFonts w:ascii="Arial" w:eastAsia="Times New Roman" w:hAnsi="Arial" w:cs="Arial"/>
                <w:b/>
                <w:bCs/>
                <w:sz w:val="16"/>
                <w:szCs w:val="16"/>
              </w:rPr>
              <w:t>p&lt;0.001</w:t>
            </w:r>
          </w:p>
        </w:tc>
        <w:tc>
          <w:tcPr>
            <w:tcW w:w="1760" w:type="dxa"/>
            <w:tcBorders>
              <w:top w:val="nil"/>
              <w:left w:val="nil"/>
              <w:bottom w:val="nil"/>
              <w:right w:val="single" w:sz="8" w:space="0" w:color="auto"/>
            </w:tcBorders>
            <w:vAlign w:val="bottom"/>
          </w:tcPr>
          <w:p w14:paraId="5D6384AA"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29±41, </w:t>
            </w:r>
            <w:r w:rsidRPr="00EC3875">
              <w:rPr>
                <w:rFonts w:ascii="Arial" w:eastAsia="Times New Roman" w:hAnsi="Arial" w:cs="Arial"/>
                <w:b/>
                <w:bCs/>
                <w:sz w:val="16"/>
                <w:szCs w:val="16"/>
              </w:rPr>
              <w:t>p=0.033</w:t>
            </w:r>
          </w:p>
        </w:tc>
        <w:tc>
          <w:tcPr>
            <w:tcW w:w="1760" w:type="dxa"/>
            <w:tcBorders>
              <w:top w:val="nil"/>
              <w:left w:val="nil"/>
              <w:bottom w:val="nil"/>
              <w:right w:val="single" w:sz="8" w:space="0" w:color="auto"/>
            </w:tcBorders>
            <w:vAlign w:val="bottom"/>
          </w:tcPr>
          <w:p w14:paraId="4DE56305"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10±30, p=0.267</w:t>
            </w:r>
          </w:p>
        </w:tc>
        <w:tc>
          <w:tcPr>
            <w:tcW w:w="1760" w:type="dxa"/>
            <w:tcBorders>
              <w:top w:val="nil"/>
              <w:left w:val="nil"/>
              <w:bottom w:val="nil"/>
              <w:right w:val="single" w:sz="8" w:space="0" w:color="auto"/>
            </w:tcBorders>
            <w:vAlign w:val="bottom"/>
          </w:tcPr>
          <w:p w14:paraId="74149AEB"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30±38, </w:t>
            </w:r>
            <w:r w:rsidRPr="00EC3875">
              <w:rPr>
                <w:rFonts w:ascii="Arial" w:eastAsia="Times New Roman" w:hAnsi="Arial" w:cs="Arial"/>
                <w:b/>
                <w:bCs/>
                <w:sz w:val="16"/>
                <w:szCs w:val="16"/>
              </w:rPr>
              <w:t>p&lt;0.001</w:t>
            </w:r>
          </w:p>
        </w:tc>
        <w:tc>
          <w:tcPr>
            <w:tcW w:w="960" w:type="dxa"/>
            <w:vMerge w:val="restart"/>
            <w:tcBorders>
              <w:top w:val="nil"/>
              <w:left w:val="single" w:sz="8" w:space="0" w:color="auto"/>
              <w:bottom w:val="single" w:sz="8" w:space="0" w:color="000000"/>
              <w:right w:val="single" w:sz="8" w:space="0" w:color="auto"/>
            </w:tcBorders>
            <w:vAlign w:val="bottom"/>
          </w:tcPr>
          <w:p w14:paraId="55881CFC"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0.004</w:t>
            </w:r>
          </w:p>
        </w:tc>
      </w:tr>
      <w:tr w:rsidR="00B17EF4" w:rsidRPr="00EC3875" w14:paraId="2AF4D0C3" w14:textId="77777777" w:rsidTr="00F87077">
        <w:trPr>
          <w:trHeight w:val="270"/>
        </w:trPr>
        <w:tc>
          <w:tcPr>
            <w:tcW w:w="1360" w:type="dxa"/>
            <w:tcBorders>
              <w:top w:val="nil"/>
              <w:left w:val="single" w:sz="8" w:space="0" w:color="auto"/>
              <w:bottom w:val="single" w:sz="8" w:space="0" w:color="auto"/>
              <w:right w:val="single" w:sz="8" w:space="0" w:color="auto"/>
            </w:tcBorders>
            <w:shd w:val="clear" w:color="auto" w:fill="FFFFFF"/>
            <w:vAlign w:val="bottom"/>
          </w:tcPr>
          <w:p w14:paraId="09E91A89" w14:textId="77777777" w:rsidR="00B17EF4" w:rsidRPr="00EC3875" w:rsidRDefault="00B17EF4" w:rsidP="00EC34D9">
            <w:pPr>
              <w:jc w:val="center"/>
              <w:rPr>
                <w:rFonts w:ascii="Arial" w:eastAsia="Times New Roman" w:hAnsi="Arial" w:cs="Arial"/>
                <w:b/>
                <w:bCs/>
                <w:sz w:val="16"/>
                <w:szCs w:val="16"/>
              </w:rPr>
            </w:pPr>
            <w:r w:rsidRPr="00EC3875">
              <w:rPr>
                <w:rFonts w:ascii="Arial" w:eastAsia="Times New Roman" w:hAnsi="Arial" w:cs="Arial"/>
                <w:b/>
                <w:bCs/>
                <w:sz w:val="16"/>
                <w:szCs w:val="16"/>
              </w:rPr>
              <w:t>Reaction Time</w:t>
            </w:r>
          </w:p>
        </w:tc>
        <w:tc>
          <w:tcPr>
            <w:tcW w:w="1760" w:type="dxa"/>
            <w:tcBorders>
              <w:top w:val="nil"/>
              <w:left w:val="nil"/>
              <w:bottom w:val="single" w:sz="8" w:space="0" w:color="auto"/>
              <w:right w:val="single" w:sz="8" w:space="0" w:color="auto"/>
            </w:tcBorders>
            <w:vAlign w:val="bottom"/>
          </w:tcPr>
          <w:p w14:paraId="4EABAB4C"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50 to 84</w:t>
            </w:r>
          </w:p>
        </w:tc>
        <w:tc>
          <w:tcPr>
            <w:tcW w:w="1760" w:type="dxa"/>
            <w:tcBorders>
              <w:top w:val="nil"/>
              <w:left w:val="nil"/>
              <w:bottom w:val="single" w:sz="8" w:space="0" w:color="auto"/>
              <w:right w:val="single" w:sz="8" w:space="0" w:color="auto"/>
            </w:tcBorders>
            <w:vAlign w:val="bottom"/>
          </w:tcPr>
          <w:p w14:paraId="2AD75EEC"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3 to 55</w:t>
            </w:r>
          </w:p>
        </w:tc>
        <w:tc>
          <w:tcPr>
            <w:tcW w:w="1760" w:type="dxa"/>
            <w:tcBorders>
              <w:top w:val="nil"/>
              <w:left w:val="nil"/>
              <w:bottom w:val="single" w:sz="8" w:space="0" w:color="auto"/>
              <w:right w:val="single" w:sz="8" w:space="0" w:color="auto"/>
            </w:tcBorders>
            <w:vAlign w:val="bottom"/>
          </w:tcPr>
          <w:p w14:paraId="2361552F"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-9 to 29</w:t>
            </w:r>
          </w:p>
        </w:tc>
        <w:tc>
          <w:tcPr>
            <w:tcW w:w="1760" w:type="dxa"/>
            <w:tcBorders>
              <w:top w:val="nil"/>
              <w:left w:val="nil"/>
              <w:bottom w:val="single" w:sz="8" w:space="0" w:color="auto"/>
              <w:right w:val="single" w:sz="8" w:space="0" w:color="auto"/>
            </w:tcBorders>
            <w:vAlign w:val="bottom"/>
          </w:tcPr>
          <w:p w14:paraId="680DB08E"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16 to 44</w:t>
            </w:r>
          </w:p>
        </w:tc>
        <w:tc>
          <w:tcPr>
            <w:tcW w:w="960" w:type="dxa"/>
            <w:vMerge/>
            <w:tcBorders>
              <w:top w:val="nil"/>
              <w:left w:val="single" w:sz="8" w:space="0" w:color="auto"/>
              <w:bottom w:val="single" w:sz="8" w:space="0" w:color="000000"/>
              <w:right w:val="single" w:sz="8" w:space="0" w:color="auto"/>
            </w:tcBorders>
            <w:vAlign w:val="center"/>
          </w:tcPr>
          <w:p w14:paraId="703B3889" w14:textId="77777777" w:rsidR="00B17EF4" w:rsidRPr="00EC3875" w:rsidRDefault="00B17EF4" w:rsidP="00F87077">
            <w:pPr>
              <w:rPr>
                <w:rFonts w:ascii="Arial" w:eastAsia="Times New Roman" w:hAnsi="Arial" w:cs="Arial"/>
                <w:b/>
                <w:bCs/>
                <w:sz w:val="16"/>
                <w:szCs w:val="16"/>
              </w:rPr>
            </w:pPr>
          </w:p>
        </w:tc>
      </w:tr>
      <w:tr w:rsidR="00B17EF4" w:rsidRPr="00EC3875" w14:paraId="49364472" w14:textId="77777777" w:rsidTr="00F87077">
        <w:trPr>
          <w:cantSplit/>
          <w:trHeight w:val="255"/>
        </w:trPr>
        <w:tc>
          <w:tcPr>
            <w:tcW w:w="1360" w:type="dxa"/>
            <w:tcBorders>
              <w:top w:val="nil"/>
              <w:left w:val="single" w:sz="8" w:space="0" w:color="auto"/>
              <w:bottom w:val="nil"/>
              <w:right w:val="single" w:sz="8" w:space="0" w:color="auto"/>
            </w:tcBorders>
            <w:shd w:val="clear" w:color="auto" w:fill="FFFFFF"/>
            <w:vAlign w:val="bottom"/>
          </w:tcPr>
          <w:p w14:paraId="0CF99F63"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Mathematical</w:t>
            </w:r>
          </w:p>
        </w:tc>
        <w:tc>
          <w:tcPr>
            <w:tcW w:w="1760" w:type="dxa"/>
            <w:tcBorders>
              <w:top w:val="nil"/>
              <w:left w:val="nil"/>
              <w:bottom w:val="nil"/>
              <w:right w:val="single" w:sz="8" w:space="0" w:color="auto"/>
            </w:tcBorders>
            <w:vAlign w:val="bottom"/>
          </w:tcPr>
          <w:p w14:paraId="5F644492"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37.3±31.8, </w:t>
            </w:r>
            <w:r w:rsidRPr="00EC3875">
              <w:rPr>
                <w:rFonts w:ascii="Arial" w:eastAsia="Times New Roman" w:hAnsi="Arial" w:cs="Arial"/>
                <w:b/>
                <w:bCs/>
                <w:sz w:val="16"/>
                <w:szCs w:val="16"/>
              </w:rPr>
              <w:t>p=0.021</w:t>
            </w:r>
          </w:p>
        </w:tc>
        <w:tc>
          <w:tcPr>
            <w:tcW w:w="1760" w:type="dxa"/>
            <w:tcBorders>
              <w:top w:val="nil"/>
              <w:left w:val="nil"/>
              <w:bottom w:val="nil"/>
              <w:right w:val="single" w:sz="8" w:space="0" w:color="auto"/>
            </w:tcBorders>
            <w:vAlign w:val="bottom"/>
          </w:tcPr>
          <w:p w14:paraId="24A78A4E"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17.4±26.0, </w:t>
            </w:r>
            <w:r w:rsidRPr="00EC3875">
              <w:rPr>
                <w:rFonts w:ascii="Arial" w:eastAsia="Times New Roman" w:hAnsi="Arial" w:cs="Arial"/>
                <w:b/>
                <w:bCs/>
                <w:sz w:val="16"/>
                <w:szCs w:val="16"/>
              </w:rPr>
              <w:t>p=0.041</w:t>
            </w:r>
          </w:p>
        </w:tc>
        <w:tc>
          <w:tcPr>
            <w:tcW w:w="1760" w:type="dxa"/>
            <w:tcBorders>
              <w:top w:val="nil"/>
              <w:left w:val="nil"/>
              <w:bottom w:val="nil"/>
              <w:right w:val="single" w:sz="8" w:space="0" w:color="auto"/>
            </w:tcBorders>
            <w:vAlign w:val="bottom"/>
          </w:tcPr>
          <w:p w14:paraId="4A719014"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21.5±20.5, </w:t>
            </w:r>
            <w:r w:rsidRPr="00EC3875">
              <w:rPr>
                <w:rFonts w:ascii="Arial" w:eastAsia="Times New Roman" w:hAnsi="Arial" w:cs="Arial"/>
                <w:b/>
                <w:bCs/>
                <w:sz w:val="16"/>
                <w:szCs w:val="16"/>
              </w:rPr>
              <w:t>p=0.004</w:t>
            </w:r>
          </w:p>
        </w:tc>
        <w:tc>
          <w:tcPr>
            <w:tcW w:w="1760" w:type="dxa"/>
            <w:tcBorders>
              <w:top w:val="nil"/>
              <w:left w:val="nil"/>
              <w:bottom w:val="nil"/>
              <w:right w:val="single" w:sz="8" w:space="0" w:color="auto"/>
            </w:tcBorders>
            <w:vAlign w:val="bottom"/>
          </w:tcPr>
          <w:p w14:paraId="01B11C85"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23.5±25.8, </w:t>
            </w:r>
            <w:r w:rsidRPr="00EC3875">
              <w:rPr>
                <w:rFonts w:ascii="Arial" w:eastAsia="Times New Roman" w:hAnsi="Arial" w:cs="Arial"/>
                <w:b/>
                <w:bCs/>
                <w:sz w:val="16"/>
                <w:szCs w:val="16"/>
              </w:rPr>
              <w:t>p&lt;0.001</w:t>
            </w:r>
          </w:p>
        </w:tc>
        <w:tc>
          <w:tcPr>
            <w:tcW w:w="960" w:type="dxa"/>
            <w:vMerge w:val="restart"/>
            <w:tcBorders>
              <w:top w:val="nil"/>
              <w:left w:val="single" w:sz="8" w:space="0" w:color="auto"/>
              <w:bottom w:val="single" w:sz="8" w:space="0" w:color="000000"/>
              <w:right w:val="single" w:sz="8" w:space="0" w:color="auto"/>
            </w:tcBorders>
            <w:vAlign w:val="bottom"/>
          </w:tcPr>
          <w:p w14:paraId="029FD836"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0.262</w:t>
            </w:r>
          </w:p>
        </w:tc>
      </w:tr>
      <w:tr w:rsidR="00B17EF4" w:rsidRPr="00EC3875" w14:paraId="39D035DB" w14:textId="77777777" w:rsidTr="00F87077">
        <w:trPr>
          <w:trHeight w:val="270"/>
        </w:trPr>
        <w:tc>
          <w:tcPr>
            <w:tcW w:w="1360" w:type="dxa"/>
            <w:tcBorders>
              <w:top w:val="nil"/>
              <w:left w:val="single" w:sz="8" w:space="0" w:color="auto"/>
              <w:bottom w:val="single" w:sz="8" w:space="0" w:color="auto"/>
              <w:right w:val="single" w:sz="8" w:space="0" w:color="auto"/>
            </w:tcBorders>
            <w:shd w:val="clear" w:color="auto" w:fill="FFFFFF"/>
            <w:vAlign w:val="bottom"/>
          </w:tcPr>
          <w:p w14:paraId="41EC9610"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Processing</w:t>
            </w:r>
          </w:p>
        </w:tc>
        <w:tc>
          <w:tcPr>
            <w:tcW w:w="1760" w:type="dxa"/>
            <w:tcBorders>
              <w:top w:val="nil"/>
              <w:left w:val="nil"/>
              <w:bottom w:val="single" w:sz="8" w:space="0" w:color="auto"/>
              <w:right w:val="single" w:sz="8" w:space="0" w:color="auto"/>
            </w:tcBorders>
            <w:vAlign w:val="bottom"/>
          </w:tcPr>
          <w:p w14:paraId="2C45AF0B"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7.8 to 66.7</w:t>
            </w:r>
          </w:p>
        </w:tc>
        <w:tc>
          <w:tcPr>
            <w:tcW w:w="1760" w:type="dxa"/>
            <w:tcBorders>
              <w:top w:val="nil"/>
              <w:left w:val="nil"/>
              <w:bottom w:val="single" w:sz="8" w:space="0" w:color="auto"/>
              <w:right w:val="single" w:sz="8" w:space="0" w:color="auto"/>
            </w:tcBorders>
            <w:vAlign w:val="bottom"/>
          </w:tcPr>
          <w:p w14:paraId="0858FA90"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0.9 to 33.9</w:t>
            </w:r>
          </w:p>
        </w:tc>
        <w:tc>
          <w:tcPr>
            <w:tcW w:w="1760" w:type="dxa"/>
            <w:tcBorders>
              <w:top w:val="nil"/>
              <w:left w:val="nil"/>
              <w:bottom w:val="single" w:sz="8" w:space="0" w:color="auto"/>
              <w:right w:val="single" w:sz="8" w:space="0" w:color="auto"/>
            </w:tcBorders>
            <w:vAlign w:val="bottom"/>
          </w:tcPr>
          <w:p w14:paraId="58911750"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8.5 to 34.5</w:t>
            </w:r>
          </w:p>
        </w:tc>
        <w:tc>
          <w:tcPr>
            <w:tcW w:w="1760" w:type="dxa"/>
            <w:tcBorders>
              <w:top w:val="nil"/>
              <w:left w:val="nil"/>
              <w:bottom w:val="single" w:sz="8" w:space="0" w:color="auto"/>
              <w:right w:val="single" w:sz="8" w:space="0" w:color="auto"/>
            </w:tcBorders>
            <w:vAlign w:val="bottom"/>
          </w:tcPr>
          <w:p w14:paraId="51385052"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14.0 to 33.0</w:t>
            </w:r>
          </w:p>
        </w:tc>
        <w:tc>
          <w:tcPr>
            <w:tcW w:w="960" w:type="dxa"/>
            <w:vMerge/>
            <w:tcBorders>
              <w:top w:val="nil"/>
              <w:left w:val="single" w:sz="8" w:space="0" w:color="auto"/>
              <w:bottom w:val="single" w:sz="8" w:space="0" w:color="000000"/>
              <w:right w:val="single" w:sz="8" w:space="0" w:color="auto"/>
            </w:tcBorders>
            <w:vAlign w:val="center"/>
          </w:tcPr>
          <w:p w14:paraId="786E4815" w14:textId="77777777" w:rsidR="00B17EF4" w:rsidRPr="00EC3875" w:rsidRDefault="00B17EF4" w:rsidP="00F87077">
            <w:pPr>
              <w:rPr>
                <w:rFonts w:ascii="Arial" w:eastAsia="Times New Roman" w:hAnsi="Arial" w:cs="Arial"/>
                <w:sz w:val="16"/>
                <w:szCs w:val="16"/>
              </w:rPr>
            </w:pPr>
          </w:p>
        </w:tc>
      </w:tr>
      <w:tr w:rsidR="00B17EF4" w:rsidRPr="00EC3875" w14:paraId="0F0AC384" w14:textId="77777777" w:rsidTr="00F87077">
        <w:trPr>
          <w:cantSplit/>
          <w:trHeight w:val="255"/>
        </w:trPr>
        <w:tc>
          <w:tcPr>
            <w:tcW w:w="1360" w:type="dxa"/>
            <w:tcBorders>
              <w:top w:val="nil"/>
              <w:left w:val="single" w:sz="8" w:space="0" w:color="auto"/>
              <w:bottom w:val="nil"/>
              <w:right w:val="single" w:sz="8" w:space="0" w:color="auto"/>
            </w:tcBorders>
            <w:shd w:val="clear" w:color="auto" w:fill="FFFFFF"/>
            <w:vAlign w:val="bottom"/>
          </w:tcPr>
          <w:p w14:paraId="03AEDF84"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Matching to</w:t>
            </w:r>
          </w:p>
        </w:tc>
        <w:tc>
          <w:tcPr>
            <w:tcW w:w="1760" w:type="dxa"/>
            <w:tcBorders>
              <w:top w:val="nil"/>
              <w:left w:val="nil"/>
              <w:bottom w:val="nil"/>
              <w:right w:val="single" w:sz="8" w:space="0" w:color="auto"/>
            </w:tcBorders>
            <w:vAlign w:val="bottom"/>
          </w:tcPr>
          <w:p w14:paraId="66C16CF8"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33±28, </w:t>
            </w:r>
            <w:r w:rsidRPr="00EC3875">
              <w:rPr>
                <w:rFonts w:ascii="Arial" w:eastAsia="Times New Roman" w:hAnsi="Arial" w:cs="Arial"/>
                <w:b/>
                <w:bCs/>
                <w:sz w:val="16"/>
                <w:szCs w:val="16"/>
              </w:rPr>
              <w:t>p=0.021</w:t>
            </w:r>
          </w:p>
        </w:tc>
        <w:tc>
          <w:tcPr>
            <w:tcW w:w="1760" w:type="dxa"/>
            <w:tcBorders>
              <w:top w:val="nil"/>
              <w:left w:val="nil"/>
              <w:bottom w:val="nil"/>
              <w:right w:val="single" w:sz="8" w:space="0" w:color="auto"/>
            </w:tcBorders>
            <w:vAlign w:val="bottom"/>
          </w:tcPr>
          <w:p w14:paraId="257E51C5"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6±31, p=0.539</w:t>
            </w:r>
          </w:p>
        </w:tc>
        <w:tc>
          <w:tcPr>
            <w:tcW w:w="1760" w:type="dxa"/>
            <w:tcBorders>
              <w:top w:val="nil"/>
              <w:left w:val="nil"/>
              <w:bottom w:val="nil"/>
              <w:right w:val="single" w:sz="8" w:space="0" w:color="auto"/>
            </w:tcBorders>
            <w:vAlign w:val="bottom"/>
          </w:tcPr>
          <w:p w14:paraId="7A13A6B7"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10±31, p=0.296</w:t>
            </w:r>
          </w:p>
        </w:tc>
        <w:tc>
          <w:tcPr>
            <w:tcW w:w="1760" w:type="dxa"/>
            <w:tcBorders>
              <w:top w:val="nil"/>
              <w:left w:val="nil"/>
              <w:bottom w:val="nil"/>
              <w:right w:val="single" w:sz="8" w:space="0" w:color="auto"/>
            </w:tcBorders>
            <w:vAlign w:val="bottom"/>
          </w:tcPr>
          <w:p w14:paraId="5EEFA481"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13±31, </w:t>
            </w:r>
            <w:r w:rsidRPr="00EC3875">
              <w:rPr>
                <w:rFonts w:ascii="Arial" w:eastAsia="Times New Roman" w:hAnsi="Arial" w:cs="Arial"/>
                <w:b/>
                <w:bCs/>
                <w:sz w:val="16"/>
                <w:szCs w:val="16"/>
              </w:rPr>
              <w:t>p=0.023</w:t>
            </w:r>
          </w:p>
        </w:tc>
        <w:tc>
          <w:tcPr>
            <w:tcW w:w="960" w:type="dxa"/>
            <w:vMerge w:val="restart"/>
            <w:tcBorders>
              <w:top w:val="nil"/>
              <w:left w:val="single" w:sz="8" w:space="0" w:color="auto"/>
              <w:bottom w:val="single" w:sz="8" w:space="0" w:color="000000"/>
              <w:right w:val="single" w:sz="8" w:space="0" w:color="auto"/>
            </w:tcBorders>
            <w:vAlign w:val="bottom"/>
          </w:tcPr>
          <w:p w14:paraId="2A86C39A"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0.167</w:t>
            </w:r>
          </w:p>
        </w:tc>
      </w:tr>
      <w:tr w:rsidR="00B17EF4" w:rsidRPr="00EC3875" w14:paraId="5E8EB0FB" w14:textId="77777777" w:rsidTr="00F87077">
        <w:trPr>
          <w:trHeight w:val="270"/>
        </w:trPr>
        <w:tc>
          <w:tcPr>
            <w:tcW w:w="1360" w:type="dxa"/>
            <w:tcBorders>
              <w:top w:val="nil"/>
              <w:left w:val="single" w:sz="8" w:space="0" w:color="auto"/>
              <w:bottom w:val="single" w:sz="8" w:space="0" w:color="auto"/>
              <w:right w:val="single" w:sz="8" w:space="0" w:color="auto"/>
            </w:tcBorders>
            <w:shd w:val="clear" w:color="auto" w:fill="FFFFFF"/>
            <w:vAlign w:val="bottom"/>
          </w:tcPr>
          <w:p w14:paraId="2AFB46E4"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Sample</w:t>
            </w:r>
          </w:p>
        </w:tc>
        <w:tc>
          <w:tcPr>
            <w:tcW w:w="1760" w:type="dxa"/>
            <w:tcBorders>
              <w:top w:val="nil"/>
              <w:left w:val="nil"/>
              <w:bottom w:val="single" w:sz="8" w:space="0" w:color="auto"/>
              <w:right w:val="single" w:sz="8" w:space="0" w:color="auto"/>
            </w:tcBorders>
            <w:vAlign w:val="bottom"/>
          </w:tcPr>
          <w:p w14:paraId="04DB6B8E"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7 to 58</w:t>
            </w:r>
          </w:p>
        </w:tc>
        <w:tc>
          <w:tcPr>
            <w:tcW w:w="1760" w:type="dxa"/>
            <w:tcBorders>
              <w:top w:val="nil"/>
              <w:left w:val="nil"/>
              <w:bottom w:val="single" w:sz="8" w:space="0" w:color="auto"/>
              <w:right w:val="single" w:sz="8" w:space="0" w:color="auto"/>
            </w:tcBorders>
            <w:vAlign w:val="bottom"/>
          </w:tcPr>
          <w:p w14:paraId="70B9C814"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-14 to 25</w:t>
            </w:r>
          </w:p>
        </w:tc>
        <w:tc>
          <w:tcPr>
            <w:tcW w:w="1760" w:type="dxa"/>
            <w:tcBorders>
              <w:top w:val="nil"/>
              <w:left w:val="nil"/>
              <w:bottom w:val="single" w:sz="8" w:space="0" w:color="auto"/>
              <w:right w:val="single" w:sz="8" w:space="0" w:color="auto"/>
            </w:tcBorders>
            <w:vAlign w:val="bottom"/>
          </w:tcPr>
          <w:p w14:paraId="223D8886"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-10 to 29</w:t>
            </w:r>
          </w:p>
        </w:tc>
        <w:tc>
          <w:tcPr>
            <w:tcW w:w="1760" w:type="dxa"/>
            <w:tcBorders>
              <w:top w:val="nil"/>
              <w:left w:val="nil"/>
              <w:bottom w:val="single" w:sz="8" w:space="0" w:color="auto"/>
              <w:right w:val="single" w:sz="8" w:space="0" w:color="auto"/>
            </w:tcBorders>
            <w:vAlign w:val="bottom"/>
          </w:tcPr>
          <w:p w14:paraId="2DAB4DD4"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2 to 25</w:t>
            </w:r>
          </w:p>
        </w:tc>
        <w:tc>
          <w:tcPr>
            <w:tcW w:w="960" w:type="dxa"/>
            <w:vMerge/>
            <w:tcBorders>
              <w:top w:val="nil"/>
              <w:left w:val="single" w:sz="8" w:space="0" w:color="auto"/>
              <w:bottom w:val="single" w:sz="8" w:space="0" w:color="000000"/>
              <w:right w:val="single" w:sz="8" w:space="0" w:color="auto"/>
            </w:tcBorders>
            <w:vAlign w:val="center"/>
          </w:tcPr>
          <w:p w14:paraId="1FD58CFE" w14:textId="77777777" w:rsidR="00B17EF4" w:rsidRPr="00EC3875" w:rsidRDefault="00B17EF4" w:rsidP="00F87077">
            <w:pPr>
              <w:rPr>
                <w:rFonts w:ascii="Arial" w:eastAsia="Times New Roman" w:hAnsi="Arial" w:cs="Arial"/>
                <w:sz w:val="16"/>
                <w:szCs w:val="16"/>
              </w:rPr>
            </w:pPr>
          </w:p>
        </w:tc>
      </w:tr>
      <w:tr w:rsidR="00B17EF4" w:rsidRPr="00EC3875" w14:paraId="2F04EFF8" w14:textId="77777777" w:rsidTr="00F87077">
        <w:trPr>
          <w:cantSplit/>
          <w:trHeight w:val="255"/>
        </w:trPr>
        <w:tc>
          <w:tcPr>
            <w:tcW w:w="1360" w:type="dxa"/>
            <w:tcBorders>
              <w:top w:val="nil"/>
              <w:left w:val="single" w:sz="8" w:space="0" w:color="auto"/>
              <w:bottom w:val="nil"/>
              <w:right w:val="single" w:sz="8" w:space="0" w:color="auto"/>
            </w:tcBorders>
            <w:shd w:val="clear" w:color="auto" w:fill="FFFFFF"/>
            <w:vAlign w:val="bottom"/>
          </w:tcPr>
          <w:p w14:paraId="23287CAE"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Code Subst.</w:t>
            </w:r>
          </w:p>
        </w:tc>
        <w:tc>
          <w:tcPr>
            <w:tcW w:w="1760" w:type="dxa"/>
            <w:tcBorders>
              <w:top w:val="nil"/>
              <w:left w:val="nil"/>
              <w:bottom w:val="nil"/>
              <w:right w:val="single" w:sz="8" w:space="0" w:color="auto"/>
            </w:tcBorders>
            <w:vAlign w:val="bottom"/>
          </w:tcPr>
          <w:p w14:paraId="6343DD79"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34±32, </w:t>
            </w:r>
            <w:r w:rsidRPr="00EC3875">
              <w:rPr>
                <w:rFonts w:ascii="Arial" w:eastAsia="Times New Roman" w:hAnsi="Arial" w:cs="Arial"/>
                <w:b/>
                <w:bCs/>
                <w:sz w:val="16"/>
                <w:szCs w:val="16"/>
              </w:rPr>
              <w:t>p=0.029</w:t>
            </w:r>
          </w:p>
        </w:tc>
        <w:tc>
          <w:tcPr>
            <w:tcW w:w="1760" w:type="dxa"/>
            <w:tcBorders>
              <w:top w:val="nil"/>
              <w:left w:val="nil"/>
              <w:bottom w:val="nil"/>
              <w:right w:val="single" w:sz="8" w:space="0" w:color="auto"/>
            </w:tcBorders>
            <w:vAlign w:val="bottom"/>
          </w:tcPr>
          <w:p w14:paraId="3D9468FD"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17±29, p=0.069</w:t>
            </w:r>
          </w:p>
        </w:tc>
        <w:tc>
          <w:tcPr>
            <w:tcW w:w="1760" w:type="dxa"/>
            <w:tcBorders>
              <w:top w:val="nil"/>
              <w:left w:val="nil"/>
              <w:bottom w:val="nil"/>
              <w:right w:val="single" w:sz="8" w:space="0" w:color="auto"/>
            </w:tcBorders>
            <w:vAlign w:val="bottom"/>
          </w:tcPr>
          <w:p w14:paraId="018C7952"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15±40, p=0.220</w:t>
            </w:r>
          </w:p>
        </w:tc>
        <w:tc>
          <w:tcPr>
            <w:tcW w:w="1760" w:type="dxa"/>
            <w:tcBorders>
              <w:top w:val="nil"/>
              <w:left w:val="nil"/>
              <w:bottom w:val="nil"/>
              <w:right w:val="single" w:sz="8" w:space="0" w:color="auto"/>
            </w:tcBorders>
            <w:vAlign w:val="bottom"/>
          </w:tcPr>
          <w:p w14:paraId="0516F63D"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 xml:space="preserve">20±34, </w:t>
            </w:r>
            <w:r w:rsidRPr="00EC3875">
              <w:rPr>
                <w:rFonts w:ascii="Arial" w:eastAsia="Times New Roman" w:hAnsi="Arial" w:cs="Arial"/>
                <w:b/>
                <w:bCs/>
                <w:sz w:val="16"/>
                <w:szCs w:val="16"/>
              </w:rPr>
              <w:t>p=0.003</w:t>
            </w:r>
          </w:p>
        </w:tc>
        <w:tc>
          <w:tcPr>
            <w:tcW w:w="960" w:type="dxa"/>
            <w:vMerge w:val="restart"/>
            <w:tcBorders>
              <w:top w:val="nil"/>
              <w:left w:val="single" w:sz="8" w:space="0" w:color="auto"/>
              <w:bottom w:val="single" w:sz="8" w:space="0" w:color="000000"/>
              <w:right w:val="single" w:sz="8" w:space="0" w:color="auto"/>
            </w:tcBorders>
            <w:vAlign w:val="bottom"/>
          </w:tcPr>
          <w:p w14:paraId="5CF14585"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0.474</w:t>
            </w:r>
          </w:p>
        </w:tc>
      </w:tr>
      <w:tr w:rsidR="00B17EF4" w:rsidRPr="00EC3875" w14:paraId="4F85B4C0" w14:textId="77777777" w:rsidTr="00F87077">
        <w:trPr>
          <w:trHeight w:val="270"/>
        </w:trPr>
        <w:tc>
          <w:tcPr>
            <w:tcW w:w="1360" w:type="dxa"/>
            <w:tcBorders>
              <w:top w:val="nil"/>
              <w:left w:val="single" w:sz="8" w:space="0" w:color="auto"/>
              <w:bottom w:val="single" w:sz="8" w:space="0" w:color="auto"/>
              <w:right w:val="single" w:sz="8" w:space="0" w:color="auto"/>
            </w:tcBorders>
            <w:shd w:val="clear" w:color="auto" w:fill="FFFFFF"/>
            <w:vAlign w:val="bottom"/>
          </w:tcPr>
          <w:p w14:paraId="6B76BFDA"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lastRenderedPageBreak/>
              <w:t>Delayed</w:t>
            </w:r>
          </w:p>
        </w:tc>
        <w:tc>
          <w:tcPr>
            <w:tcW w:w="1760" w:type="dxa"/>
            <w:tcBorders>
              <w:top w:val="nil"/>
              <w:left w:val="nil"/>
              <w:bottom w:val="single" w:sz="8" w:space="0" w:color="auto"/>
              <w:right w:val="single" w:sz="8" w:space="0" w:color="auto"/>
            </w:tcBorders>
            <w:vAlign w:val="bottom"/>
          </w:tcPr>
          <w:p w14:paraId="45AB0854"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5 to 63</w:t>
            </w:r>
          </w:p>
        </w:tc>
        <w:tc>
          <w:tcPr>
            <w:tcW w:w="1760" w:type="dxa"/>
            <w:tcBorders>
              <w:top w:val="nil"/>
              <w:left w:val="nil"/>
              <w:bottom w:val="single" w:sz="8" w:space="0" w:color="auto"/>
              <w:right w:val="single" w:sz="8" w:space="0" w:color="auto"/>
            </w:tcBorders>
            <w:vAlign w:val="bottom"/>
          </w:tcPr>
          <w:p w14:paraId="4D6B5B5A"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-2 to 35</w:t>
            </w:r>
          </w:p>
        </w:tc>
        <w:tc>
          <w:tcPr>
            <w:tcW w:w="1760" w:type="dxa"/>
            <w:tcBorders>
              <w:top w:val="nil"/>
              <w:left w:val="nil"/>
              <w:bottom w:val="single" w:sz="8" w:space="0" w:color="auto"/>
              <w:right w:val="single" w:sz="8" w:space="0" w:color="auto"/>
            </w:tcBorders>
            <w:vAlign w:val="bottom"/>
          </w:tcPr>
          <w:p w14:paraId="2A9C678F"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-10 to 41</w:t>
            </w:r>
          </w:p>
        </w:tc>
        <w:tc>
          <w:tcPr>
            <w:tcW w:w="1760" w:type="dxa"/>
            <w:tcBorders>
              <w:top w:val="nil"/>
              <w:left w:val="nil"/>
              <w:bottom w:val="single" w:sz="8" w:space="0" w:color="auto"/>
              <w:right w:val="single" w:sz="8" w:space="0" w:color="auto"/>
            </w:tcBorders>
            <w:vAlign w:val="bottom"/>
          </w:tcPr>
          <w:p w14:paraId="4D3DA6F3"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8 to 33</w:t>
            </w:r>
          </w:p>
        </w:tc>
        <w:tc>
          <w:tcPr>
            <w:tcW w:w="960" w:type="dxa"/>
            <w:vMerge/>
            <w:tcBorders>
              <w:top w:val="nil"/>
              <w:left w:val="single" w:sz="8" w:space="0" w:color="auto"/>
              <w:bottom w:val="single" w:sz="8" w:space="0" w:color="000000"/>
              <w:right w:val="single" w:sz="8" w:space="0" w:color="auto"/>
            </w:tcBorders>
            <w:vAlign w:val="center"/>
          </w:tcPr>
          <w:p w14:paraId="513A957D" w14:textId="77777777" w:rsidR="00B17EF4" w:rsidRPr="00EC3875" w:rsidRDefault="00B17EF4" w:rsidP="00F87077">
            <w:pPr>
              <w:rPr>
                <w:rFonts w:ascii="Arial" w:eastAsia="Times New Roman" w:hAnsi="Arial" w:cs="Arial"/>
                <w:sz w:val="16"/>
                <w:szCs w:val="16"/>
              </w:rPr>
            </w:pPr>
          </w:p>
        </w:tc>
      </w:tr>
      <w:tr w:rsidR="00B17EF4" w:rsidRPr="00EC3875" w14:paraId="25EC5E32" w14:textId="77777777" w:rsidTr="00F87077">
        <w:trPr>
          <w:cantSplit/>
          <w:trHeight w:val="255"/>
        </w:trPr>
        <w:tc>
          <w:tcPr>
            <w:tcW w:w="1360" w:type="dxa"/>
            <w:tcBorders>
              <w:top w:val="nil"/>
              <w:left w:val="single" w:sz="8" w:space="0" w:color="auto"/>
              <w:bottom w:val="nil"/>
              <w:right w:val="single" w:sz="8" w:space="0" w:color="auto"/>
            </w:tcBorders>
            <w:shd w:val="clear" w:color="auto" w:fill="FFFFFF"/>
            <w:vAlign w:val="bottom"/>
          </w:tcPr>
          <w:p w14:paraId="57740982"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Simple</w:t>
            </w:r>
          </w:p>
        </w:tc>
        <w:tc>
          <w:tcPr>
            <w:tcW w:w="1760" w:type="dxa"/>
            <w:tcBorders>
              <w:top w:val="nil"/>
              <w:left w:val="nil"/>
              <w:bottom w:val="nil"/>
              <w:right w:val="single" w:sz="8" w:space="0" w:color="auto"/>
            </w:tcBorders>
            <w:vAlign w:val="bottom"/>
          </w:tcPr>
          <w:p w14:paraId="199D9F50"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73±14 (4), p=0.098</w:t>
            </w:r>
          </w:p>
        </w:tc>
        <w:tc>
          <w:tcPr>
            <w:tcW w:w="1760" w:type="dxa"/>
            <w:tcBorders>
              <w:top w:val="nil"/>
              <w:left w:val="nil"/>
              <w:bottom w:val="nil"/>
              <w:right w:val="single" w:sz="8" w:space="0" w:color="auto"/>
            </w:tcBorders>
            <w:vAlign w:val="bottom"/>
          </w:tcPr>
          <w:p w14:paraId="4EF586CB"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-10±29, p=0.540</w:t>
            </w:r>
          </w:p>
        </w:tc>
        <w:tc>
          <w:tcPr>
            <w:tcW w:w="1760" w:type="dxa"/>
            <w:tcBorders>
              <w:top w:val="nil"/>
              <w:left w:val="nil"/>
              <w:bottom w:val="nil"/>
              <w:right w:val="single" w:sz="8" w:space="0" w:color="auto"/>
            </w:tcBorders>
            <w:vAlign w:val="bottom"/>
          </w:tcPr>
          <w:p w14:paraId="3C410592"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3±18, p=0.755</w:t>
            </w:r>
          </w:p>
        </w:tc>
        <w:tc>
          <w:tcPr>
            <w:tcW w:w="1760" w:type="dxa"/>
            <w:tcBorders>
              <w:top w:val="nil"/>
              <w:left w:val="nil"/>
              <w:bottom w:val="nil"/>
              <w:right w:val="single" w:sz="8" w:space="0" w:color="auto"/>
            </w:tcBorders>
            <w:vAlign w:val="bottom"/>
          </w:tcPr>
          <w:p w14:paraId="257F7421"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8±36 (27), p=0.282</w:t>
            </w:r>
          </w:p>
        </w:tc>
        <w:tc>
          <w:tcPr>
            <w:tcW w:w="960" w:type="dxa"/>
            <w:vMerge w:val="restart"/>
            <w:tcBorders>
              <w:top w:val="nil"/>
              <w:left w:val="single" w:sz="8" w:space="0" w:color="auto"/>
              <w:bottom w:val="single" w:sz="8" w:space="0" w:color="000000"/>
              <w:right w:val="single" w:sz="8" w:space="0" w:color="auto"/>
            </w:tcBorders>
            <w:vAlign w:val="bottom"/>
          </w:tcPr>
          <w:p w14:paraId="2596D169" w14:textId="77777777" w:rsidR="00B17EF4" w:rsidRPr="00EC3875" w:rsidRDefault="00B17EF4" w:rsidP="00F87077">
            <w:pPr>
              <w:jc w:val="center"/>
              <w:rPr>
                <w:rFonts w:ascii="Arial" w:eastAsia="Times New Roman" w:hAnsi="Arial" w:cs="Arial"/>
                <w:b/>
                <w:bCs/>
                <w:sz w:val="16"/>
                <w:szCs w:val="16"/>
              </w:rPr>
            </w:pPr>
            <w:r w:rsidRPr="00EC3875">
              <w:rPr>
                <w:rFonts w:ascii="Arial" w:eastAsia="Times New Roman" w:hAnsi="Arial" w:cs="Arial"/>
                <w:b/>
                <w:bCs/>
                <w:sz w:val="16"/>
                <w:szCs w:val="16"/>
              </w:rPr>
              <w:t>0.007</w:t>
            </w:r>
          </w:p>
        </w:tc>
      </w:tr>
      <w:tr w:rsidR="00B17EF4" w:rsidRPr="00EC3875" w14:paraId="62F3B592" w14:textId="77777777" w:rsidTr="00F87077">
        <w:trPr>
          <w:trHeight w:val="270"/>
        </w:trPr>
        <w:tc>
          <w:tcPr>
            <w:tcW w:w="1360" w:type="dxa"/>
            <w:tcBorders>
              <w:top w:val="nil"/>
              <w:left w:val="single" w:sz="8" w:space="0" w:color="auto"/>
              <w:bottom w:val="single" w:sz="8" w:space="0" w:color="auto"/>
              <w:right w:val="single" w:sz="8" w:space="0" w:color="auto"/>
            </w:tcBorders>
            <w:shd w:val="clear" w:color="auto" w:fill="FFFFFF"/>
            <w:vAlign w:val="bottom"/>
          </w:tcPr>
          <w:p w14:paraId="77E66EB7" w14:textId="77777777" w:rsidR="00B17EF4" w:rsidRPr="00EC3875" w:rsidRDefault="00B17EF4" w:rsidP="00EC34D9">
            <w:pPr>
              <w:jc w:val="center"/>
              <w:rPr>
                <w:rFonts w:ascii="Arial" w:eastAsia="Times New Roman" w:hAnsi="Arial" w:cs="Arial"/>
                <w:b/>
                <w:bCs/>
                <w:sz w:val="16"/>
                <w:szCs w:val="16"/>
              </w:rPr>
            </w:pPr>
            <w:r w:rsidRPr="00EC3875">
              <w:rPr>
                <w:rFonts w:ascii="Arial" w:eastAsia="Times New Roman" w:hAnsi="Arial" w:cs="Arial"/>
                <w:b/>
                <w:bCs/>
                <w:sz w:val="16"/>
                <w:szCs w:val="16"/>
              </w:rPr>
              <w:t>Reaction Time (R)</w:t>
            </w:r>
          </w:p>
        </w:tc>
        <w:tc>
          <w:tcPr>
            <w:tcW w:w="1760" w:type="dxa"/>
            <w:tcBorders>
              <w:top w:val="nil"/>
              <w:left w:val="nil"/>
              <w:bottom w:val="single" w:sz="8" w:space="0" w:color="auto"/>
              <w:right w:val="single" w:sz="8" w:space="0" w:color="auto"/>
            </w:tcBorders>
            <w:vAlign w:val="bottom"/>
          </w:tcPr>
          <w:p w14:paraId="5E32586B"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51 to 95</w:t>
            </w:r>
          </w:p>
        </w:tc>
        <w:tc>
          <w:tcPr>
            <w:tcW w:w="1760" w:type="dxa"/>
            <w:tcBorders>
              <w:top w:val="nil"/>
              <w:left w:val="nil"/>
              <w:bottom w:val="single" w:sz="8" w:space="0" w:color="auto"/>
              <w:right w:val="single" w:sz="8" w:space="0" w:color="auto"/>
            </w:tcBorders>
            <w:vAlign w:val="bottom"/>
          </w:tcPr>
          <w:p w14:paraId="4C76D71D"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-29 to 10</w:t>
            </w:r>
          </w:p>
        </w:tc>
        <w:tc>
          <w:tcPr>
            <w:tcW w:w="1760" w:type="dxa"/>
            <w:tcBorders>
              <w:top w:val="nil"/>
              <w:left w:val="nil"/>
              <w:bottom w:val="single" w:sz="8" w:space="0" w:color="auto"/>
              <w:right w:val="single" w:sz="8" w:space="0" w:color="auto"/>
            </w:tcBorders>
            <w:vAlign w:val="bottom"/>
          </w:tcPr>
          <w:p w14:paraId="06275000"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-9 to 14</w:t>
            </w:r>
          </w:p>
        </w:tc>
        <w:tc>
          <w:tcPr>
            <w:tcW w:w="1760" w:type="dxa"/>
            <w:tcBorders>
              <w:top w:val="nil"/>
              <w:left w:val="nil"/>
              <w:bottom w:val="single" w:sz="8" w:space="0" w:color="auto"/>
              <w:right w:val="single" w:sz="8" w:space="0" w:color="auto"/>
            </w:tcBorders>
            <w:vAlign w:val="bottom"/>
          </w:tcPr>
          <w:p w14:paraId="2D34C906" w14:textId="77777777" w:rsidR="00B17EF4" w:rsidRPr="00EC3875" w:rsidRDefault="00B17EF4" w:rsidP="00F87077">
            <w:pPr>
              <w:jc w:val="center"/>
              <w:rPr>
                <w:rFonts w:ascii="Arial" w:eastAsia="Times New Roman" w:hAnsi="Arial" w:cs="Arial"/>
                <w:sz w:val="16"/>
                <w:szCs w:val="16"/>
              </w:rPr>
            </w:pPr>
            <w:r w:rsidRPr="00EC3875">
              <w:rPr>
                <w:rFonts w:ascii="Arial" w:eastAsia="Times New Roman" w:hAnsi="Arial" w:cs="Arial"/>
                <w:sz w:val="16"/>
                <w:szCs w:val="16"/>
              </w:rPr>
              <w:t>CI: -6 to 22</w:t>
            </w:r>
          </w:p>
        </w:tc>
        <w:tc>
          <w:tcPr>
            <w:tcW w:w="960" w:type="dxa"/>
            <w:vMerge/>
            <w:tcBorders>
              <w:top w:val="nil"/>
              <w:left w:val="single" w:sz="8" w:space="0" w:color="auto"/>
              <w:bottom w:val="single" w:sz="8" w:space="0" w:color="000000"/>
              <w:right w:val="single" w:sz="8" w:space="0" w:color="auto"/>
            </w:tcBorders>
            <w:vAlign w:val="center"/>
          </w:tcPr>
          <w:p w14:paraId="5D10A76C" w14:textId="77777777" w:rsidR="00B17EF4" w:rsidRPr="00EC3875" w:rsidRDefault="00B17EF4" w:rsidP="00F87077">
            <w:pPr>
              <w:rPr>
                <w:rFonts w:ascii="Arial" w:eastAsia="Times New Roman" w:hAnsi="Arial" w:cs="Arial"/>
                <w:b/>
                <w:bCs/>
                <w:sz w:val="16"/>
                <w:szCs w:val="16"/>
              </w:rPr>
            </w:pPr>
          </w:p>
        </w:tc>
      </w:tr>
    </w:tbl>
    <w:p w14:paraId="3A898BFD" w14:textId="77777777" w:rsidR="00B17EF4" w:rsidRPr="00EC3875" w:rsidRDefault="00B17EF4" w:rsidP="00EC34D9">
      <w:pPr>
        <w:widowControl w:val="0"/>
        <w:spacing w:line="480" w:lineRule="auto"/>
        <w:rPr>
          <w:rFonts w:ascii="Arial" w:hAnsi="Arial"/>
          <w:b/>
          <w:sz w:val="22"/>
        </w:rPr>
      </w:pPr>
    </w:p>
    <w:p w14:paraId="49CC3C9B" w14:textId="77777777" w:rsidR="00B17EF4" w:rsidRDefault="00B17EF4" w:rsidP="00834472">
      <w:pPr>
        <w:widowControl w:val="0"/>
        <w:spacing w:after="0" w:line="240" w:lineRule="auto"/>
        <w:rPr>
          <w:rFonts w:ascii="Arial" w:hAnsi="Arial"/>
          <w:b/>
          <w:sz w:val="22"/>
        </w:rPr>
      </w:pPr>
      <w:r w:rsidRPr="00EC3875">
        <w:rPr>
          <w:rFonts w:ascii="Arial" w:hAnsi="Arial" w:cs="Arial"/>
          <w:b/>
          <w:sz w:val="22"/>
        </w:rPr>
        <w:t>Table 3:</w:t>
      </w:r>
      <w:r w:rsidRPr="00EC3875">
        <w:rPr>
          <w:rFonts w:ascii="Arial" w:hAnsi="Arial" w:cs="Arial"/>
          <w:sz w:val="22"/>
        </w:rPr>
        <w:t xml:space="preserve"> Changes in </w:t>
      </w:r>
      <w:r w:rsidRPr="00EC3875">
        <w:rPr>
          <w:rFonts w:ascii="Arial" w:hAnsi="Arial"/>
          <w:sz w:val="22"/>
        </w:rPr>
        <w:t xml:space="preserve">ANAM4™ </w:t>
      </w:r>
      <w:r w:rsidRPr="00EC3875">
        <w:rPr>
          <w:rFonts w:ascii="Arial" w:hAnsi="Arial" w:cs="Arial"/>
          <w:sz w:val="22"/>
        </w:rPr>
        <w:t xml:space="preserve">test values from start to end of HBOT, within each Military Status (Active Duty/Veteran/Civilian), and for all subjects combined. Final column indicates the significance of differences in ANAM4™ changes between the three groups.  Values are expressed as mean change ± standard deviation of changes; CI indicates the 95% confidence interval around the mean change; p indicates the p value from a paired test for </w:t>
      </w:r>
      <w:proofErr w:type="gramStart"/>
      <w:r w:rsidRPr="00EC3875">
        <w:rPr>
          <w:rFonts w:ascii="Arial" w:hAnsi="Arial" w:cs="Arial"/>
          <w:sz w:val="22"/>
        </w:rPr>
        <w:t>a  significant</w:t>
      </w:r>
      <w:proofErr w:type="gramEnd"/>
      <w:r w:rsidRPr="00EC3875">
        <w:rPr>
          <w:rFonts w:ascii="Arial" w:hAnsi="Arial" w:cs="Arial"/>
          <w:sz w:val="22"/>
        </w:rPr>
        <w:t xml:space="preserve"> mean within-group change.</w:t>
      </w:r>
    </w:p>
    <w:p w14:paraId="005C1212" w14:textId="42755F2B" w:rsidR="000A5B61" w:rsidRDefault="000A5B61">
      <w:pPr>
        <w:rPr>
          <w:rFonts w:cstheme="minorHAnsi"/>
          <w:b/>
          <w:bCs/>
        </w:rPr>
      </w:pPr>
      <w:r>
        <w:rPr>
          <w:rFonts w:cstheme="minorHAnsi"/>
          <w:b/>
          <w:bCs/>
        </w:rPr>
        <w:br w:type="page"/>
      </w:r>
    </w:p>
    <w:sectPr w:rsidR="000A5B61">
      <w:footerReference w:type="default" r:id="rId1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DC933" w14:textId="77777777" w:rsidR="00C4221C" w:rsidRDefault="00C4221C" w:rsidP="00A04D99">
      <w:pPr>
        <w:spacing w:after="0" w:line="240" w:lineRule="auto"/>
      </w:pPr>
      <w:r>
        <w:separator/>
      </w:r>
    </w:p>
  </w:endnote>
  <w:endnote w:type="continuationSeparator" w:id="0">
    <w:p w14:paraId="060AA827" w14:textId="77777777" w:rsidR="00C4221C" w:rsidRDefault="00C4221C" w:rsidP="00A04D99">
      <w:pPr>
        <w:spacing w:after="0" w:line="240" w:lineRule="auto"/>
      </w:pPr>
      <w:r>
        <w:continuationSeparator/>
      </w:r>
    </w:p>
  </w:endnote>
  <w:endnote w:id="1">
    <w:p w14:paraId="014CB7FF" w14:textId="50E8EAAA" w:rsidR="00A7005F" w:rsidRPr="00A7005F" w:rsidRDefault="00A7005F" w:rsidP="00834472">
      <w:pPr>
        <w:spacing w:after="0" w:line="240" w:lineRule="auto"/>
        <w:rPr>
          <w:rFonts w:cstheme="minorHAnsi"/>
          <w:b/>
          <w:bCs/>
          <w:sz w:val="22"/>
          <w:szCs w:val="22"/>
        </w:rPr>
      </w:pPr>
      <w:r>
        <w:rPr>
          <w:rFonts w:cstheme="minorHAnsi"/>
          <w:b/>
          <w:bCs/>
          <w:sz w:val="22"/>
          <w:szCs w:val="22"/>
        </w:rPr>
        <w:t>6</w:t>
      </w:r>
      <w:r w:rsidRPr="00A7005F">
        <w:rPr>
          <w:rFonts w:cstheme="minorHAnsi"/>
          <w:b/>
          <w:bCs/>
          <w:sz w:val="22"/>
          <w:szCs w:val="22"/>
        </w:rPr>
        <w:t>) References</w:t>
      </w:r>
    </w:p>
    <w:p w14:paraId="3CDF387E" w14:textId="77777777" w:rsidR="00A7005F" w:rsidRDefault="00A7005F" w:rsidP="00834472">
      <w:pPr>
        <w:spacing w:after="0" w:line="240" w:lineRule="auto"/>
        <w:rPr>
          <w:rFonts w:cstheme="minorHAnsi"/>
          <w:sz w:val="22"/>
          <w:szCs w:val="22"/>
        </w:rPr>
      </w:pPr>
    </w:p>
    <w:p w14:paraId="1CABA1F2" w14:textId="773B66AF" w:rsidR="004A70CE" w:rsidRPr="00C80762" w:rsidRDefault="004A70CE" w:rsidP="00834472">
      <w:pPr>
        <w:spacing w:after="0" w:line="240" w:lineRule="auto"/>
        <w:rPr>
          <w:rFonts w:cstheme="minorHAnsi"/>
          <w:sz w:val="22"/>
          <w:szCs w:val="22"/>
        </w:rPr>
      </w:pPr>
      <w:r w:rsidRPr="00C80762">
        <w:rPr>
          <w:rStyle w:val="EndnoteReference"/>
          <w:rFonts w:cstheme="minorHAnsi"/>
          <w:sz w:val="22"/>
          <w:szCs w:val="22"/>
        </w:rPr>
        <w:endnoteRef/>
      </w:r>
      <w:r w:rsidRPr="00C80762">
        <w:rPr>
          <w:rFonts w:cstheme="minorHAnsi"/>
          <w:sz w:val="22"/>
          <w:szCs w:val="22"/>
        </w:rPr>
        <w:t xml:space="preserve"> Rink C, Roy S, Khan M, Ananth P, Kuppusamy P, Sen CK, Khanna S. Oxygen-sensitive outcomes and gene expression in acute ischemic stroke. J </w:t>
      </w:r>
      <w:proofErr w:type="spellStart"/>
      <w:r w:rsidRPr="00C80762">
        <w:rPr>
          <w:rFonts w:cstheme="minorHAnsi"/>
          <w:sz w:val="22"/>
          <w:szCs w:val="22"/>
        </w:rPr>
        <w:t>Cereb</w:t>
      </w:r>
      <w:proofErr w:type="spellEnd"/>
      <w:r w:rsidRPr="00C80762">
        <w:rPr>
          <w:rFonts w:cstheme="minorHAnsi"/>
          <w:sz w:val="22"/>
          <w:szCs w:val="22"/>
        </w:rPr>
        <w:t xml:space="preserve"> Blood Flow </w:t>
      </w:r>
      <w:proofErr w:type="spellStart"/>
      <w:r w:rsidRPr="00C80762">
        <w:rPr>
          <w:rFonts w:cstheme="minorHAnsi"/>
          <w:sz w:val="22"/>
          <w:szCs w:val="22"/>
        </w:rPr>
        <w:t>Metab</w:t>
      </w:r>
      <w:proofErr w:type="spellEnd"/>
      <w:r w:rsidRPr="00C80762">
        <w:rPr>
          <w:rFonts w:cstheme="minorHAnsi"/>
          <w:sz w:val="22"/>
          <w:szCs w:val="22"/>
        </w:rPr>
        <w:t xml:space="preserve">. 2010 Feb 10. </w:t>
      </w:r>
    </w:p>
  </w:endnote>
  <w:endnote w:id="2">
    <w:p w14:paraId="5E300073" w14:textId="67029849"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Butler WP. Caisson disease during the construction of the Eads and Brooklyn Bridges: A review. Undersea </w:t>
      </w:r>
      <w:proofErr w:type="spellStart"/>
      <w:r w:rsidRPr="00C80762">
        <w:rPr>
          <w:rFonts w:ascii="Palatino Linotype" w:hAnsi="Palatino Linotype"/>
          <w:sz w:val="22"/>
          <w:szCs w:val="22"/>
        </w:rPr>
        <w:t>Hyperb</w:t>
      </w:r>
      <w:proofErr w:type="spellEnd"/>
      <w:r w:rsidRPr="00C80762">
        <w:rPr>
          <w:rFonts w:ascii="Palatino Linotype" w:hAnsi="Palatino Linotype"/>
          <w:sz w:val="22"/>
          <w:szCs w:val="22"/>
        </w:rPr>
        <w:t xml:space="preserve"> Med. 2004 Winter;31(4):445-59. </w:t>
      </w:r>
    </w:p>
  </w:endnote>
  <w:endnote w:id="3">
    <w:p w14:paraId="263114A8" w14:textId="77777777" w:rsidR="004A70CE" w:rsidRPr="00C80762" w:rsidRDefault="004A70CE" w:rsidP="00834472">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color w:val="212121"/>
          <w:sz w:val="22"/>
          <w:szCs w:val="22"/>
          <w:shd w:val="clear" w:color="auto" w:fill="FFFFFF"/>
        </w:rPr>
        <w:t xml:space="preserve">Behnke AR, Saltzman HA. Hyperbaric oxygenation. N Engl J Med. 1967; 276 (25): </w:t>
      </w:r>
      <w:r w:rsidRPr="00C80762">
        <w:rPr>
          <w:rFonts w:ascii="Palatino Linotype" w:hAnsi="Palatino Linotype" w:cstheme="minorHAnsi"/>
          <w:color w:val="5B616B"/>
          <w:sz w:val="22"/>
          <w:szCs w:val="22"/>
          <w:shd w:val="clear" w:color="auto" w:fill="FFFFFF"/>
        </w:rPr>
        <w:t>1423-9</w:t>
      </w:r>
      <w:r w:rsidRPr="00C80762">
        <w:rPr>
          <w:rFonts w:ascii="Palatino Linotype" w:hAnsi="Palatino Linotype" w:cstheme="minorHAnsi"/>
          <w:color w:val="212121"/>
          <w:sz w:val="22"/>
          <w:szCs w:val="22"/>
          <w:shd w:val="clear" w:color="auto" w:fill="FFFFFF"/>
        </w:rPr>
        <w:t>.</w:t>
      </w:r>
    </w:p>
  </w:endnote>
  <w:endnote w:id="4">
    <w:p w14:paraId="26394875" w14:textId="521EB4B4"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Barometric </w:t>
      </w:r>
      <w:proofErr w:type="gramStart"/>
      <w:r w:rsidRPr="00C80762">
        <w:rPr>
          <w:rFonts w:ascii="Palatino Linotype" w:hAnsi="Palatino Linotype"/>
          <w:sz w:val="22"/>
          <w:szCs w:val="22"/>
        </w:rPr>
        <w:t>pressure :</w:t>
      </w:r>
      <w:proofErr w:type="gramEnd"/>
      <w:r w:rsidRPr="00C80762">
        <w:rPr>
          <w:rFonts w:ascii="Palatino Linotype" w:hAnsi="Palatino Linotype"/>
          <w:sz w:val="22"/>
          <w:szCs w:val="22"/>
        </w:rPr>
        <w:t xml:space="preserve"> researches in experimental physiology. Bert, Paul, 1833-1886; Hitchcock, Mary Alice; Hitchcock, Fred Andrews, b. 1889.; College Book Company, Columbus, Ohio; 1943</w:t>
      </w:r>
    </w:p>
  </w:endnote>
  <w:endnote w:id="5">
    <w:p w14:paraId="5885929B"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r w:rsidRPr="00C80762">
        <w:rPr>
          <w:rFonts w:ascii="Palatino Linotype" w:hAnsi="Palatino Linotype" w:cs="Segoe UI"/>
          <w:color w:val="212121"/>
          <w:sz w:val="22"/>
          <w:szCs w:val="22"/>
          <w:shd w:val="clear" w:color="auto" w:fill="FFFFFF"/>
        </w:rPr>
        <w:t xml:space="preserve">Davis JC, Sheffield PJ, Schuknecht L, et al. Altitude decompression sickness: hyperbaric therapy results in 145 cases. Aviat Space Environ Med. </w:t>
      </w:r>
      <w:proofErr w:type="gramStart"/>
      <w:r w:rsidRPr="00C80762">
        <w:rPr>
          <w:rFonts w:ascii="Palatino Linotype" w:hAnsi="Palatino Linotype" w:cs="Segoe UI"/>
          <w:color w:val="212121"/>
          <w:sz w:val="22"/>
          <w:szCs w:val="22"/>
          <w:shd w:val="clear" w:color="auto" w:fill="FFFFFF"/>
        </w:rPr>
        <w:t>1977;48:722</w:t>
      </w:r>
      <w:proofErr w:type="gramEnd"/>
      <w:r w:rsidRPr="00C80762">
        <w:rPr>
          <w:rFonts w:ascii="Palatino Linotype" w:hAnsi="Palatino Linotype" w:cs="Segoe UI"/>
          <w:color w:val="212121"/>
          <w:sz w:val="22"/>
          <w:szCs w:val="22"/>
          <w:shd w:val="clear" w:color="auto" w:fill="FFFFFF"/>
        </w:rPr>
        <w:t>-730.</w:t>
      </w:r>
    </w:p>
  </w:endnote>
  <w:endnote w:id="6">
    <w:p w14:paraId="1C6FB187"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r w:rsidRPr="00C80762">
        <w:rPr>
          <w:rFonts w:ascii="Palatino Linotype" w:hAnsi="Palatino Linotype" w:cs="Segoe UI"/>
          <w:color w:val="212121"/>
          <w:sz w:val="22"/>
          <w:szCs w:val="22"/>
          <w:shd w:val="clear" w:color="auto" w:fill="FFFFFF"/>
        </w:rPr>
        <w:t xml:space="preserve">Curley MD, Schwartz HJ, </w:t>
      </w:r>
      <w:proofErr w:type="spellStart"/>
      <w:r w:rsidRPr="00C80762">
        <w:rPr>
          <w:rFonts w:ascii="Palatino Linotype" w:hAnsi="Palatino Linotype" w:cs="Segoe UI"/>
          <w:color w:val="212121"/>
          <w:sz w:val="22"/>
          <w:szCs w:val="22"/>
          <w:shd w:val="clear" w:color="auto" w:fill="FFFFFF"/>
        </w:rPr>
        <w:t>Zwingelberg</w:t>
      </w:r>
      <w:proofErr w:type="spellEnd"/>
      <w:r w:rsidRPr="00C80762">
        <w:rPr>
          <w:rFonts w:ascii="Palatino Linotype" w:hAnsi="Palatino Linotype" w:cs="Segoe UI"/>
          <w:color w:val="212121"/>
          <w:sz w:val="22"/>
          <w:szCs w:val="22"/>
          <w:shd w:val="clear" w:color="auto" w:fill="FFFFFF"/>
        </w:rPr>
        <w:t xml:space="preserve"> KM. Neuropsychologic assessment of cerebral decompression sickness and gas embolism. Undersea Biomed Res. 1988;15(3):223-236.</w:t>
      </w:r>
    </w:p>
  </w:endnote>
  <w:endnote w:id="7">
    <w:p w14:paraId="03FA469D"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cs="Segoe UI"/>
          <w:color w:val="212121"/>
          <w:sz w:val="22"/>
          <w:szCs w:val="22"/>
          <w:shd w:val="clear" w:color="auto" w:fill="FFFFFF"/>
        </w:rPr>
        <w:t>Lieppman</w:t>
      </w:r>
      <w:proofErr w:type="spellEnd"/>
      <w:r w:rsidRPr="00C80762">
        <w:rPr>
          <w:rFonts w:ascii="Palatino Linotype" w:hAnsi="Palatino Linotype" w:cs="Segoe UI"/>
          <w:color w:val="212121"/>
          <w:sz w:val="22"/>
          <w:szCs w:val="22"/>
          <w:shd w:val="clear" w:color="auto" w:fill="FFFFFF"/>
        </w:rPr>
        <w:t xml:space="preserve"> ME. Accommodative and convergence insufficiency after decompression sickness. Arch </w:t>
      </w:r>
      <w:proofErr w:type="spellStart"/>
      <w:r w:rsidRPr="00C80762">
        <w:rPr>
          <w:rFonts w:ascii="Palatino Linotype" w:hAnsi="Palatino Linotype" w:cs="Segoe UI"/>
          <w:color w:val="212121"/>
          <w:sz w:val="22"/>
          <w:szCs w:val="22"/>
          <w:shd w:val="clear" w:color="auto" w:fill="FFFFFF"/>
        </w:rPr>
        <w:t>Ophthalmol</w:t>
      </w:r>
      <w:proofErr w:type="spellEnd"/>
      <w:r w:rsidRPr="00C80762">
        <w:rPr>
          <w:rFonts w:ascii="Palatino Linotype" w:hAnsi="Palatino Linotype" w:cs="Segoe UI"/>
          <w:color w:val="212121"/>
          <w:sz w:val="22"/>
          <w:szCs w:val="22"/>
          <w:shd w:val="clear" w:color="auto" w:fill="FFFFFF"/>
        </w:rPr>
        <w:t xml:space="preserve">. 1981;99(3):453-456. </w:t>
      </w:r>
    </w:p>
  </w:endnote>
  <w:endnote w:id="8">
    <w:p w14:paraId="33739BD9"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r w:rsidRPr="00C80762">
        <w:rPr>
          <w:rFonts w:ascii="Palatino Linotype" w:hAnsi="Palatino Linotype" w:cs="Segoe UI"/>
          <w:color w:val="212121"/>
          <w:sz w:val="22"/>
          <w:szCs w:val="22"/>
          <w:shd w:val="clear" w:color="auto" w:fill="FFFFFF"/>
        </w:rPr>
        <w:t>James PB. Dysbarism: the medical problems from high and low atmospheric pressure. J R Coll Physicians Lond. 1993;27(4):367-374.</w:t>
      </w:r>
    </w:p>
  </w:endnote>
  <w:endnote w:id="9">
    <w:p w14:paraId="752EB11D"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cs="Segoe UI"/>
          <w:color w:val="212121"/>
          <w:sz w:val="22"/>
          <w:szCs w:val="22"/>
          <w:shd w:val="clear" w:color="auto" w:fill="FFFFFF"/>
        </w:rPr>
        <w:t>Ciocatto</w:t>
      </w:r>
      <w:proofErr w:type="spellEnd"/>
      <w:r w:rsidRPr="00C80762">
        <w:rPr>
          <w:rFonts w:ascii="Palatino Linotype" w:hAnsi="Palatino Linotype" w:cs="Segoe UI"/>
          <w:color w:val="212121"/>
          <w:sz w:val="22"/>
          <w:szCs w:val="22"/>
          <w:shd w:val="clear" w:color="auto" w:fill="FFFFFF"/>
        </w:rPr>
        <w:t xml:space="preserve"> E, Moricca G, Cavalieri R, </w:t>
      </w:r>
      <w:proofErr w:type="spellStart"/>
      <w:r w:rsidRPr="00C80762">
        <w:rPr>
          <w:rFonts w:ascii="Palatino Linotype" w:hAnsi="Palatino Linotype" w:cs="Segoe UI"/>
          <w:color w:val="212121"/>
          <w:sz w:val="22"/>
          <w:szCs w:val="22"/>
          <w:shd w:val="clear" w:color="auto" w:fill="FFFFFF"/>
        </w:rPr>
        <w:t>Bellelli</w:t>
      </w:r>
      <w:proofErr w:type="spellEnd"/>
      <w:r w:rsidRPr="00C80762">
        <w:rPr>
          <w:rFonts w:ascii="Palatino Linotype" w:hAnsi="Palatino Linotype" w:cs="Segoe UI"/>
          <w:color w:val="212121"/>
          <w:sz w:val="22"/>
          <w:szCs w:val="22"/>
          <w:shd w:val="clear" w:color="auto" w:fill="FFFFFF"/>
        </w:rPr>
        <w:t xml:space="preserve"> L, Alfano A, Galletta O. </w:t>
      </w:r>
      <w:proofErr w:type="spellStart"/>
      <w:r w:rsidRPr="00C80762">
        <w:rPr>
          <w:rFonts w:ascii="Palatino Linotype" w:hAnsi="Palatino Linotype" w:cs="Segoe UI"/>
          <w:color w:val="212121"/>
          <w:sz w:val="22"/>
          <w:szCs w:val="22"/>
          <w:shd w:val="clear" w:color="auto" w:fill="FFFFFF"/>
        </w:rPr>
        <w:t>L'ossigenoterapia</w:t>
      </w:r>
      <w:proofErr w:type="spellEnd"/>
      <w:r w:rsidRPr="00C80762">
        <w:rPr>
          <w:rFonts w:ascii="Palatino Linotype" w:hAnsi="Palatino Linotype" w:cs="Segoe UI"/>
          <w:color w:val="212121"/>
          <w:sz w:val="22"/>
          <w:szCs w:val="22"/>
          <w:shd w:val="clear" w:color="auto" w:fill="FFFFFF"/>
        </w:rPr>
        <w:t xml:space="preserve"> </w:t>
      </w:r>
      <w:proofErr w:type="spellStart"/>
      <w:r w:rsidRPr="00C80762">
        <w:rPr>
          <w:rFonts w:ascii="Palatino Linotype" w:hAnsi="Palatino Linotype" w:cs="Segoe UI"/>
          <w:color w:val="212121"/>
          <w:sz w:val="22"/>
          <w:szCs w:val="22"/>
          <w:shd w:val="clear" w:color="auto" w:fill="FFFFFF"/>
        </w:rPr>
        <w:t>iperbarica</w:t>
      </w:r>
      <w:proofErr w:type="spellEnd"/>
      <w:r w:rsidRPr="00C80762">
        <w:rPr>
          <w:rFonts w:ascii="Palatino Linotype" w:hAnsi="Palatino Linotype" w:cs="Segoe UI"/>
          <w:color w:val="212121"/>
          <w:sz w:val="22"/>
          <w:szCs w:val="22"/>
          <w:shd w:val="clear" w:color="auto" w:fill="FFFFFF"/>
        </w:rPr>
        <w:t xml:space="preserve"> </w:t>
      </w:r>
      <w:proofErr w:type="spellStart"/>
      <w:r w:rsidRPr="00C80762">
        <w:rPr>
          <w:rFonts w:ascii="Palatino Linotype" w:hAnsi="Palatino Linotype" w:cs="Segoe UI"/>
          <w:color w:val="212121"/>
          <w:sz w:val="22"/>
          <w:szCs w:val="22"/>
          <w:shd w:val="clear" w:color="auto" w:fill="FFFFFF"/>
        </w:rPr>
        <w:t>nella</w:t>
      </w:r>
      <w:proofErr w:type="spellEnd"/>
      <w:r w:rsidRPr="00C80762">
        <w:rPr>
          <w:rFonts w:ascii="Palatino Linotype" w:hAnsi="Palatino Linotype" w:cs="Segoe UI"/>
          <w:color w:val="212121"/>
          <w:sz w:val="22"/>
          <w:szCs w:val="22"/>
          <w:shd w:val="clear" w:color="auto" w:fill="FFFFFF"/>
        </w:rPr>
        <w:t xml:space="preserve"> </w:t>
      </w:r>
      <w:proofErr w:type="spellStart"/>
      <w:r w:rsidRPr="00C80762">
        <w:rPr>
          <w:rFonts w:ascii="Palatino Linotype" w:hAnsi="Palatino Linotype" w:cs="Segoe UI"/>
          <w:color w:val="212121"/>
          <w:sz w:val="22"/>
          <w:szCs w:val="22"/>
          <w:shd w:val="clear" w:color="auto" w:fill="FFFFFF"/>
        </w:rPr>
        <w:t>rianimazione</w:t>
      </w:r>
      <w:proofErr w:type="spellEnd"/>
      <w:r w:rsidRPr="00C80762">
        <w:rPr>
          <w:rFonts w:ascii="Palatino Linotype" w:hAnsi="Palatino Linotype" w:cs="Segoe UI"/>
          <w:color w:val="212121"/>
          <w:sz w:val="22"/>
          <w:szCs w:val="22"/>
          <w:shd w:val="clear" w:color="auto" w:fill="FFFFFF"/>
        </w:rPr>
        <w:t xml:space="preserve"> in </w:t>
      </w:r>
      <w:proofErr w:type="spellStart"/>
      <w:r w:rsidRPr="00C80762">
        <w:rPr>
          <w:rFonts w:ascii="Palatino Linotype" w:hAnsi="Palatino Linotype" w:cs="Segoe UI"/>
          <w:color w:val="212121"/>
          <w:sz w:val="22"/>
          <w:szCs w:val="22"/>
          <w:shd w:val="clear" w:color="auto" w:fill="FFFFFF"/>
        </w:rPr>
        <w:t>neurologia</w:t>
      </w:r>
      <w:proofErr w:type="spellEnd"/>
      <w:r w:rsidRPr="00C80762">
        <w:rPr>
          <w:rFonts w:ascii="Palatino Linotype" w:hAnsi="Palatino Linotype" w:cs="Segoe UI"/>
          <w:color w:val="212121"/>
          <w:sz w:val="22"/>
          <w:szCs w:val="22"/>
          <w:shd w:val="clear" w:color="auto" w:fill="FFFFFF"/>
        </w:rPr>
        <w:t xml:space="preserve"> e neuro-</w:t>
      </w:r>
      <w:proofErr w:type="spellStart"/>
      <w:r w:rsidRPr="00C80762">
        <w:rPr>
          <w:rFonts w:ascii="Palatino Linotype" w:hAnsi="Palatino Linotype" w:cs="Segoe UI"/>
          <w:color w:val="212121"/>
          <w:sz w:val="22"/>
          <w:szCs w:val="22"/>
          <w:shd w:val="clear" w:color="auto" w:fill="FFFFFF"/>
        </w:rPr>
        <w:t>chirurgia</w:t>
      </w:r>
      <w:proofErr w:type="spellEnd"/>
      <w:r w:rsidRPr="00C80762">
        <w:rPr>
          <w:rFonts w:ascii="Palatino Linotype" w:hAnsi="Palatino Linotype" w:cs="Segoe UI"/>
          <w:color w:val="212121"/>
          <w:sz w:val="22"/>
          <w:szCs w:val="22"/>
          <w:shd w:val="clear" w:color="auto" w:fill="FFFFFF"/>
        </w:rPr>
        <w:t xml:space="preserve"> [Hyperbaric oxygen therapy in resuscitation in neurology and neurosurgery]. Minerva </w:t>
      </w:r>
      <w:proofErr w:type="spellStart"/>
      <w:r w:rsidRPr="00C80762">
        <w:rPr>
          <w:rFonts w:ascii="Palatino Linotype" w:hAnsi="Palatino Linotype" w:cs="Segoe UI"/>
          <w:color w:val="212121"/>
          <w:sz w:val="22"/>
          <w:szCs w:val="22"/>
          <w:shd w:val="clear" w:color="auto" w:fill="FFFFFF"/>
        </w:rPr>
        <w:t>Anestesiol</w:t>
      </w:r>
      <w:proofErr w:type="spellEnd"/>
      <w:r w:rsidRPr="00C80762">
        <w:rPr>
          <w:rFonts w:ascii="Palatino Linotype" w:hAnsi="Palatino Linotype" w:cs="Segoe UI"/>
          <w:color w:val="212121"/>
          <w:sz w:val="22"/>
          <w:szCs w:val="22"/>
          <w:shd w:val="clear" w:color="auto" w:fill="FFFFFF"/>
        </w:rPr>
        <w:t>. 1966;32(9):477-483.</w:t>
      </w:r>
    </w:p>
  </w:endnote>
  <w:endnote w:id="10">
    <w:p w14:paraId="1B4DAB36"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r w:rsidRPr="00C80762">
        <w:rPr>
          <w:rFonts w:ascii="Palatino Linotype" w:hAnsi="Palatino Linotype" w:cs="Segoe UI"/>
          <w:color w:val="212121"/>
          <w:sz w:val="22"/>
          <w:szCs w:val="22"/>
          <w:shd w:val="clear" w:color="auto" w:fill="FFFFFF"/>
        </w:rPr>
        <w:t xml:space="preserve">Mogami H, Sugimoto T, </w:t>
      </w:r>
      <w:proofErr w:type="spellStart"/>
      <w:r w:rsidRPr="00C80762">
        <w:rPr>
          <w:rFonts w:ascii="Palatino Linotype" w:hAnsi="Palatino Linotype" w:cs="Segoe UI"/>
          <w:color w:val="212121"/>
          <w:sz w:val="22"/>
          <w:szCs w:val="22"/>
          <w:shd w:val="clear" w:color="auto" w:fill="FFFFFF"/>
        </w:rPr>
        <w:t>Mukawa</w:t>
      </w:r>
      <w:proofErr w:type="spellEnd"/>
      <w:r w:rsidRPr="00C80762">
        <w:rPr>
          <w:rFonts w:ascii="Palatino Linotype" w:hAnsi="Palatino Linotype" w:cs="Segoe UI"/>
          <w:color w:val="212121"/>
          <w:sz w:val="22"/>
          <w:szCs w:val="22"/>
          <w:shd w:val="clear" w:color="auto" w:fill="FFFFFF"/>
        </w:rPr>
        <w:t xml:space="preserve"> J, Ikeda T, Koshino K. No To </w:t>
      </w:r>
      <w:proofErr w:type="spellStart"/>
      <w:r w:rsidRPr="00C80762">
        <w:rPr>
          <w:rFonts w:ascii="Palatino Linotype" w:hAnsi="Palatino Linotype" w:cs="Segoe UI"/>
          <w:color w:val="212121"/>
          <w:sz w:val="22"/>
          <w:szCs w:val="22"/>
          <w:shd w:val="clear" w:color="auto" w:fill="FFFFFF"/>
        </w:rPr>
        <w:t>Shinkei</w:t>
      </w:r>
      <w:proofErr w:type="spellEnd"/>
      <w:r w:rsidRPr="00C80762">
        <w:rPr>
          <w:rFonts w:ascii="Palatino Linotype" w:hAnsi="Palatino Linotype" w:cs="Segoe UI"/>
          <w:color w:val="212121"/>
          <w:sz w:val="22"/>
          <w:szCs w:val="22"/>
          <w:shd w:val="clear" w:color="auto" w:fill="FFFFFF"/>
        </w:rPr>
        <w:t>. 1969;21(3):261-268.</w:t>
      </w:r>
    </w:p>
  </w:endnote>
  <w:endnote w:id="11">
    <w:p w14:paraId="0DADEBE5"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r w:rsidRPr="00C80762">
        <w:rPr>
          <w:rFonts w:ascii="Palatino Linotype" w:hAnsi="Palatino Linotype" w:cs="Segoe UI"/>
          <w:color w:val="212121"/>
          <w:sz w:val="22"/>
          <w:szCs w:val="22"/>
          <w:shd w:val="clear" w:color="auto" w:fill="FFFFFF"/>
        </w:rPr>
        <w:t xml:space="preserve">Mogami H, Hayakawa T, Kanai N, et al. Clinical application of hyperbaric oxygenation in the treatment of acute cerebral damage. J </w:t>
      </w:r>
      <w:proofErr w:type="spellStart"/>
      <w:r w:rsidRPr="00C80762">
        <w:rPr>
          <w:rFonts w:ascii="Palatino Linotype" w:hAnsi="Palatino Linotype" w:cs="Segoe UI"/>
          <w:color w:val="212121"/>
          <w:sz w:val="22"/>
          <w:szCs w:val="22"/>
          <w:shd w:val="clear" w:color="auto" w:fill="FFFFFF"/>
        </w:rPr>
        <w:t>Neurosurg</w:t>
      </w:r>
      <w:proofErr w:type="spellEnd"/>
      <w:r w:rsidRPr="00C80762">
        <w:rPr>
          <w:rFonts w:ascii="Palatino Linotype" w:hAnsi="Palatino Linotype" w:cs="Segoe UI"/>
          <w:color w:val="212121"/>
          <w:sz w:val="22"/>
          <w:szCs w:val="22"/>
          <w:shd w:val="clear" w:color="auto" w:fill="FFFFFF"/>
        </w:rPr>
        <w:t xml:space="preserve">. 1969;31(6):636-643. </w:t>
      </w:r>
    </w:p>
  </w:endnote>
  <w:endnote w:id="12">
    <w:p w14:paraId="643F6949"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cs="Segoe UI"/>
          <w:color w:val="212121"/>
          <w:sz w:val="22"/>
          <w:szCs w:val="22"/>
          <w:shd w:val="clear" w:color="auto" w:fill="FFFFFF"/>
        </w:rPr>
        <w:t>Rockswold</w:t>
      </w:r>
      <w:proofErr w:type="spellEnd"/>
      <w:r w:rsidRPr="00C80762">
        <w:rPr>
          <w:rFonts w:ascii="Palatino Linotype" w:hAnsi="Palatino Linotype" w:cs="Segoe UI"/>
          <w:color w:val="212121"/>
          <w:sz w:val="22"/>
          <w:szCs w:val="22"/>
          <w:shd w:val="clear" w:color="auto" w:fill="FFFFFF"/>
        </w:rPr>
        <w:t xml:space="preserve"> GL, Ford SE. Preliminary results of a prospective randomized trial for treatment of severely brain-injured patients with hyperbaric oxygen. Minn Med. 1985;68(7):533-535.</w:t>
      </w:r>
    </w:p>
  </w:endnote>
  <w:endnote w:id="13">
    <w:p w14:paraId="6FB6FF17"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r w:rsidRPr="00C80762">
        <w:rPr>
          <w:rFonts w:ascii="Palatino Linotype" w:hAnsi="Palatino Linotype" w:cs="Segoe UI"/>
          <w:color w:val="212121"/>
          <w:sz w:val="22"/>
          <w:szCs w:val="22"/>
          <w:shd w:val="clear" w:color="auto" w:fill="FFFFFF"/>
        </w:rPr>
        <w:t xml:space="preserve">Ginsberg MD. Carbon monoxide intoxication: clinical features, neuropathology and mechanisms of injury. J </w:t>
      </w:r>
      <w:proofErr w:type="spellStart"/>
      <w:r w:rsidRPr="00C80762">
        <w:rPr>
          <w:rFonts w:ascii="Palatino Linotype" w:hAnsi="Palatino Linotype" w:cs="Segoe UI"/>
          <w:color w:val="212121"/>
          <w:sz w:val="22"/>
          <w:szCs w:val="22"/>
          <w:shd w:val="clear" w:color="auto" w:fill="FFFFFF"/>
        </w:rPr>
        <w:t>Toxicol</w:t>
      </w:r>
      <w:proofErr w:type="spellEnd"/>
      <w:r w:rsidRPr="00C80762">
        <w:rPr>
          <w:rFonts w:ascii="Palatino Linotype" w:hAnsi="Palatino Linotype" w:cs="Segoe UI"/>
          <w:color w:val="212121"/>
          <w:sz w:val="22"/>
          <w:szCs w:val="22"/>
          <w:shd w:val="clear" w:color="auto" w:fill="FFFFFF"/>
        </w:rPr>
        <w:t xml:space="preserve"> Clin </w:t>
      </w:r>
      <w:proofErr w:type="spellStart"/>
      <w:r w:rsidRPr="00C80762">
        <w:rPr>
          <w:rFonts w:ascii="Palatino Linotype" w:hAnsi="Palatino Linotype" w:cs="Segoe UI"/>
          <w:color w:val="212121"/>
          <w:sz w:val="22"/>
          <w:szCs w:val="22"/>
          <w:shd w:val="clear" w:color="auto" w:fill="FFFFFF"/>
        </w:rPr>
        <w:t>Toxicol</w:t>
      </w:r>
      <w:proofErr w:type="spellEnd"/>
      <w:r w:rsidRPr="00C80762">
        <w:rPr>
          <w:rFonts w:ascii="Palatino Linotype" w:hAnsi="Palatino Linotype" w:cs="Segoe UI"/>
          <w:color w:val="212121"/>
          <w:sz w:val="22"/>
          <w:szCs w:val="22"/>
          <w:shd w:val="clear" w:color="auto" w:fill="FFFFFF"/>
        </w:rPr>
        <w:t xml:space="preserve">. 1985;23(4-6):281-288. </w:t>
      </w:r>
    </w:p>
  </w:endnote>
  <w:endnote w:id="14">
    <w:p w14:paraId="5A6512EF" w14:textId="77777777" w:rsidR="004A70CE" w:rsidRPr="00C80762" w:rsidRDefault="004A70CE" w:rsidP="00834472">
      <w:pPr>
        <w:pStyle w:val="HTMLPreformatted"/>
        <w:rPr>
          <w:rFonts w:ascii="Palatino Linotype" w:hAnsi="Palatino Linotype"/>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w:t>
      </w:r>
      <w:r w:rsidRPr="00C80762">
        <w:rPr>
          <w:rFonts w:ascii="Palatino Linotype" w:hAnsi="Palatino Linotype" w:cs="Palatino Linotype"/>
          <w:color w:val="000000"/>
          <w:sz w:val="22"/>
          <w:szCs w:val="22"/>
        </w:rPr>
        <w:t xml:space="preserve">Neubauer RA, Gottlieb SF, Pevsner NH. Hyperbaric oxygen for treatment of </w:t>
      </w:r>
      <w:r w:rsidRPr="00C80762">
        <w:rPr>
          <w:rFonts w:ascii="Palatino Linotype" w:hAnsi="Palatino Linotype" w:cs="Palatino Linotype"/>
          <w:sz w:val="22"/>
          <w:szCs w:val="22"/>
        </w:rPr>
        <w:t>closed head injury. South Med J. 1994 Sep;87(9):933-6.</w:t>
      </w:r>
      <w:r w:rsidRPr="00C80762">
        <w:rPr>
          <w:rFonts w:ascii="Palatino Linotype" w:hAnsi="Palatino Linotype"/>
          <w:sz w:val="22"/>
          <w:szCs w:val="22"/>
        </w:rPr>
        <w:t xml:space="preserve"> </w:t>
      </w:r>
    </w:p>
  </w:endnote>
  <w:endnote w:id="15">
    <w:p w14:paraId="186C6873" w14:textId="39731D8B" w:rsidR="004A70CE" w:rsidRPr="00C80762" w:rsidRDefault="004A70CE" w:rsidP="00834472">
      <w:pPr>
        <w:pStyle w:val="HTMLPreformatted"/>
        <w:rPr>
          <w:rFonts w:ascii="Palatino Linotype" w:hAnsi="Palatino Linotype"/>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w:t>
      </w:r>
      <w:r w:rsidRPr="00C80762">
        <w:rPr>
          <w:rFonts w:ascii="Palatino Linotype" w:hAnsi="Palatino Linotype" w:cs="Palatino Linotype"/>
          <w:color w:val="000000"/>
          <w:sz w:val="22"/>
          <w:szCs w:val="22"/>
        </w:rPr>
        <w:t xml:space="preserve">Jiang JY, Bo YH, Yin YH, Pan YH, Liang YM, Luo QZ. Effect of arousal methods for 175 cases of prolonged coma after severe traumatic brain injury and its </w:t>
      </w:r>
      <w:r w:rsidRPr="00C80762">
        <w:rPr>
          <w:rFonts w:ascii="Palatino Linotype" w:hAnsi="Palatino Linotype" w:cs="Palatino Linotype"/>
          <w:sz w:val="22"/>
          <w:szCs w:val="22"/>
        </w:rPr>
        <w:t xml:space="preserve">related factors. Chin J </w:t>
      </w:r>
      <w:proofErr w:type="spellStart"/>
      <w:r w:rsidRPr="00C80762">
        <w:rPr>
          <w:rFonts w:ascii="Palatino Linotype" w:hAnsi="Palatino Linotype" w:cs="Palatino Linotype"/>
          <w:sz w:val="22"/>
          <w:szCs w:val="22"/>
        </w:rPr>
        <w:t>Traumatol</w:t>
      </w:r>
      <w:proofErr w:type="spellEnd"/>
      <w:r w:rsidRPr="00C80762">
        <w:rPr>
          <w:rFonts w:ascii="Palatino Linotype" w:hAnsi="Palatino Linotype" w:cs="Palatino Linotype"/>
          <w:sz w:val="22"/>
          <w:szCs w:val="22"/>
        </w:rPr>
        <w:t>. 2004 Dec;7(6):341-3.</w:t>
      </w:r>
    </w:p>
  </w:endnote>
  <w:endnote w:id="16">
    <w:p w14:paraId="11EFBF46" w14:textId="77777777" w:rsidR="004A70CE" w:rsidRPr="00C80762" w:rsidRDefault="004A70CE" w:rsidP="00834472">
      <w:pPr>
        <w:pStyle w:val="HTMLPreformatted"/>
        <w:rPr>
          <w:rFonts w:ascii="Palatino Linotype" w:hAnsi="Palatino Linotype"/>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w:t>
      </w:r>
      <w:r w:rsidRPr="00C80762">
        <w:rPr>
          <w:rFonts w:ascii="Palatino Linotype" w:hAnsi="Palatino Linotype" w:cs="Palatino Linotype"/>
          <w:color w:val="000000"/>
          <w:sz w:val="22"/>
          <w:szCs w:val="22"/>
        </w:rPr>
        <w:t xml:space="preserve">Hardy P, Johnston KM, De Beaumont L, Montgomery DL, Lecomte JM, Soucy JP, Bourbonnais D, Lassonde M. Pilot case study of the therapeutic potential of hyperbaric oxygen therapy on chronic brain injury. J Neurol Sci. 2007 Feb </w:t>
      </w:r>
      <w:r w:rsidRPr="00C80762">
        <w:rPr>
          <w:rFonts w:ascii="Palatino Linotype" w:hAnsi="Palatino Linotype" w:cs="Palatino Linotype"/>
          <w:sz w:val="22"/>
          <w:szCs w:val="22"/>
        </w:rPr>
        <w:t xml:space="preserve">15;253(1-2):94-105. </w:t>
      </w:r>
      <w:proofErr w:type="spellStart"/>
      <w:r w:rsidRPr="00C80762">
        <w:rPr>
          <w:rFonts w:ascii="Palatino Linotype" w:hAnsi="Palatino Linotype" w:cs="Palatino Linotype"/>
          <w:sz w:val="22"/>
          <w:szCs w:val="22"/>
        </w:rPr>
        <w:t>Epub</w:t>
      </w:r>
      <w:proofErr w:type="spellEnd"/>
      <w:r w:rsidRPr="00C80762">
        <w:rPr>
          <w:rFonts w:ascii="Palatino Linotype" w:hAnsi="Palatino Linotype" w:cs="Palatino Linotype"/>
          <w:sz w:val="22"/>
          <w:szCs w:val="22"/>
        </w:rPr>
        <w:t xml:space="preserve"> 2007 Jan 16.</w:t>
      </w:r>
    </w:p>
  </w:endnote>
  <w:endnote w:id="17">
    <w:p w14:paraId="35899C73" w14:textId="77777777" w:rsidR="004A70CE" w:rsidRPr="00C80762" w:rsidRDefault="004A70CE" w:rsidP="00834472">
      <w:pPr>
        <w:pStyle w:val="HTMLPreformatted"/>
        <w:rPr>
          <w:rFonts w:ascii="Palatino Linotype" w:hAnsi="Palatino Linotype" w:cs="Palatino Linotype"/>
          <w:color w:val="000000"/>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w:t>
      </w:r>
      <w:r w:rsidRPr="00C80762">
        <w:rPr>
          <w:rFonts w:ascii="Palatino Linotype" w:hAnsi="Palatino Linotype" w:cs="Palatino Linotype"/>
          <w:color w:val="000000"/>
          <w:sz w:val="22"/>
          <w:szCs w:val="22"/>
        </w:rPr>
        <w:t>Lin JW, Tsai JT, Lee LM, Lin CM, Hung CC, Hung KS, Chen WY, Wei L, Ko CP, Su</w:t>
      </w:r>
    </w:p>
    <w:p w14:paraId="7B43AE35" w14:textId="77777777" w:rsidR="004A70CE" w:rsidRPr="00C80762" w:rsidRDefault="004A70CE" w:rsidP="00834472">
      <w:pPr>
        <w:pStyle w:val="HTMLPreformatted"/>
        <w:rPr>
          <w:rFonts w:ascii="Palatino Linotype" w:hAnsi="Palatino Linotype"/>
          <w:sz w:val="22"/>
          <w:szCs w:val="22"/>
        </w:rPr>
      </w:pPr>
      <w:r w:rsidRPr="00C80762">
        <w:rPr>
          <w:rFonts w:ascii="Palatino Linotype" w:hAnsi="Palatino Linotype" w:cs="Palatino Linotype"/>
          <w:color w:val="000000"/>
          <w:sz w:val="22"/>
          <w:szCs w:val="22"/>
        </w:rPr>
        <w:t xml:space="preserve">YK, Chiu WT. Effect of hyperbaric oxygen on patients with traumatic brain injury. </w:t>
      </w:r>
      <w:r w:rsidRPr="00C80762">
        <w:rPr>
          <w:rFonts w:ascii="Palatino Linotype" w:hAnsi="Palatino Linotype" w:cs="Palatino Linotype"/>
          <w:sz w:val="22"/>
          <w:szCs w:val="22"/>
        </w:rPr>
        <w:t xml:space="preserve">Acta </w:t>
      </w:r>
      <w:proofErr w:type="spellStart"/>
      <w:r w:rsidRPr="00C80762">
        <w:rPr>
          <w:rFonts w:ascii="Palatino Linotype" w:hAnsi="Palatino Linotype" w:cs="Palatino Linotype"/>
          <w:sz w:val="22"/>
          <w:szCs w:val="22"/>
        </w:rPr>
        <w:t>Neurochir</w:t>
      </w:r>
      <w:proofErr w:type="spellEnd"/>
      <w:r w:rsidRPr="00C80762">
        <w:rPr>
          <w:rFonts w:ascii="Palatino Linotype" w:hAnsi="Palatino Linotype" w:cs="Palatino Linotype"/>
          <w:sz w:val="22"/>
          <w:szCs w:val="22"/>
        </w:rPr>
        <w:t xml:space="preserve"> Suppl. </w:t>
      </w:r>
      <w:proofErr w:type="gramStart"/>
      <w:r w:rsidRPr="00C80762">
        <w:rPr>
          <w:rFonts w:ascii="Palatino Linotype" w:hAnsi="Palatino Linotype" w:cs="Palatino Linotype"/>
          <w:sz w:val="22"/>
          <w:szCs w:val="22"/>
        </w:rPr>
        <w:t>2008;101:145</w:t>
      </w:r>
      <w:proofErr w:type="gramEnd"/>
      <w:r w:rsidRPr="00C80762">
        <w:rPr>
          <w:rFonts w:ascii="Palatino Linotype" w:hAnsi="Palatino Linotype" w:cs="Palatino Linotype"/>
          <w:sz w:val="22"/>
          <w:szCs w:val="22"/>
        </w:rPr>
        <w:t>-9.</w:t>
      </w:r>
    </w:p>
  </w:endnote>
  <w:endnote w:id="18">
    <w:p w14:paraId="6E7F1D90"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cs="Segoe UI"/>
          <w:color w:val="212121"/>
          <w:sz w:val="22"/>
          <w:szCs w:val="22"/>
          <w:shd w:val="clear" w:color="auto" w:fill="FFFFFF"/>
        </w:rPr>
        <w:t>Rockswold</w:t>
      </w:r>
      <w:proofErr w:type="spellEnd"/>
      <w:r w:rsidRPr="00C80762">
        <w:rPr>
          <w:rFonts w:ascii="Palatino Linotype" w:hAnsi="Palatino Linotype" w:cs="Segoe UI"/>
          <w:color w:val="212121"/>
          <w:sz w:val="22"/>
          <w:szCs w:val="22"/>
          <w:shd w:val="clear" w:color="auto" w:fill="FFFFFF"/>
        </w:rPr>
        <w:t xml:space="preserve"> GL, Ford SE, Anderson DC, Bergman TA, Sherman RE. Results of a prospective randomized trial for treatment of severely brain-injured patients with hyperbaric oxygen. J </w:t>
      </w:r>
      <w:proofErr w:type="spellStart"/>
      <w:r w:rsidRPr="00C80762">
        <w:rPr>
          <w:rFonts w:ascii="Palatino Linotype" w:hAnsi="Palatino Linotype" w:cs="Segoe UI"/>
          <w:color w:val="212121"/>
          <w:sz w:val="22"/>
          <w:szCs w:val="22"/>
          <w:shd w:val="clear" w:color="auto" w:fill="FFFFFF"/>
        </w:rPr>
        <w:t>Neurosurg</w:t>
      </w:r>
      <w:proofErr w:type="spellEnd"/>
      <w:r w:rsidRPr="00C80762">
        <w:rPr>
          <w:rFonts w:ascii="Palatino Linotype" w:hAnsi="Palatino Linotype" w:cs="Segoe UI"/>
          <w:color w:val="212121"/>
          <w:sz w:val="22"/>
          <w:szCs w:val="22"/>
          <w:shd w:val="clear" w:color="auto" w:fill="FFFFFF"/>
        </w:rPr>
        <w:t>. 1992;76(6):929-934.</w:t>
      </w:r>
    </w:p>
  </w:endnote>
  <w:endnote w:id="19">
    <w:p w14:paraId="4104C7EE"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r w:rsidRPr="00C80762">
        <w:rPr>
          <w:rFonts w:ascii="Palatino Linotype" w:hAnsi="Palatino Linotype" w:cs="Segoe UI"/>
          <w:color w:val="212121"/>
          <w:sz w:val="22"/>
          <w:szCs w:val="22"/>
          <w:shd w:val="clear" w:color="auto" w:fill="FFFFFF"/>
        </w:rPr>
        <w:t xml:space="preserve">Hardy P, Johnston KM, De Beaumont L, et al. Pilot case study of the therapeutic potential of hyperbaric oxygen therapy on chronic brain injury. J Neurol Sci. 2007;253(1-2):94-105. </w:t>
      </w:r>
    </w:p>
  </w:endnote>
  <w:endnote w:id="20">
    <w:p w14:paraId="6F76BD9D"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r w:rsidRPr="00C80762">
        <w:rPr>
          <w:rFonts w:ascii="Palatino Linotype" w:hAnsi="Palatino Linotype" w:cs="Segoe UI"/>
          <w:color w:val="212121"/>
          <w:sz w:val="22"/>
          <w:szCs w:val="22"/>
          <w:shd w:val="clear" w:color="auto" w:fill="FFFFFF"/>
        </w:rPr>
        <w:t xml:space="preserve">Lin JW, Tsai JT, Lee LM, et al. Effect of hyperbaric oxygen on patients with traumatic brain injury. Acta </w:t>
      </w:r>
      <w:proofErr w:type="spellStart"/>
      <w:r w:rsidRPr="00C80762">
        <w:rPr>
          <w:rFonts w:ascii="Palatino Linotype" w:hAnsi="Palatino Linotype" w:cs="Segoe UI"/>
          <w:color w:val="212121"/>
          <w:sz w:val="22"/>
          <w:szCs w:val="22"/>
          <w:shd w:val="clear" w:color="auto" w:fill="FFFFFF"/>
        </w:rPr>
        <w:t>Neurochir</w:t>
      </w:r>
      <w:proofErr w:type="spellEnd"/>
      <w:r w:rsidRPr="00C80762">
        <w:rPr>
          <w:rFonts w:ascii="Palatino Linotype" w:hAnsi="Palatino Linotype" w:cs="Segoe UI"/>
          <w:color w:val="212121"/>
          <w:sz w:val="22"/>
          <w:szCs w:val="22"/>
          <w:shd w:val="clear" w:color="auto" w:fill="FFFFFF"/>
        </w:rPr>
        <w:t xml:space="preserve"> Suppl. </w:t>
      </w:r>
      <w:proofErr w:type="gramStart"/>
      <w:r w:rsidRPr="00C80762">
        <w:rPr>
          <w:rFonts w:ascii="Palatino Linotype" w:hAnsi="Palatino Linotype" w:cs="Segoe UI"/>
          <w:color w:val="212121"/>
          <w:sz w:val="22"/>
          <w:szCs w:val="22"/>
          <w:shd w:val="clear" w:color="auto" w:fill="FFFFFF"/>
        </w:rPr>
        <w:t>2008;101:145</w:t>
      </w:r>
      <w:proofErr w:type="gramEnd"/>
      <w:r w:rsidRPr="00C80762">
        <w:rPr>
          <w:rFonts w:ascii="Palatino Linotype" w:hAnsi="Palatino Linotype" w:cs="Segoe UI"/>
          <w:color w:val="212121"/>
          <w:sz w:val="22"/>
          <w:szCs w:val="22"/>
          <w:shd w:val="clear" w:color="auto" w:fill="FFFFFF"/>
        </w:rPr>
        <w:t xml:space="preserve">-149. </w:t>
      </w:r>
    </w:p>
  </w:endnote>
  <w:endnote w:id="21">
    <w:p w14:paraId="39552D2B" w14:textId="77777777" w:rsidR="004A70CE" w:rsidRPr="00C80762" w:rsidRDefault="004A70CE" w:rsidP="00834472">
      <w:pPr>
        <w:pStyle w:val="HTMLPreformatted"/>
        <w:rPr>
          <w:rFonts w:ascii="Palatino Linotype" w:hAnsi="Palatino Linotype" w:cs="Palatino Linotype"/>
          <w:color w:val="000000"/>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w:t>
      </w:r>
      <w:r w:rsidRPr="00C80762">
        <w:rPr>
          <w:rFonts w:ascii="Palatino Linotype" w:hAnsi="Palatino Linotype" w:cs="Palatino Linotype"/>
          <w:color w:val="000000"/>
          <w:sz w:val="22"/>
          <w:szCs w:val="22"/>
        </w:rPr>
        <w:t>Wright JK, Zant E, Groom K, Schlegel RE, Gilliland K. Case report: Treatment</w:t>
      </w:r>
    </w:p>
    <w:p w14:paraId="13B28B4A" w14:textId="77777777" w:rsidR="004A70CE" w:rsidRPr="00C80762" w:rsidRDefault="004A70CE" w:rsidP="00834472">
      <w:pPr>
        <w:pStyle w:val="HTMLPreformatted"/>
        <w:rPr>
          <w:rFonts w:ascii="Palatino Linotype" w:hAnsi="Palatino Linotype"/>
          <w:sz w:val="22"/>
          <w:szCs w:val="22"/>
        </w:rPr>
      </w:pPr>
      <w:r w:rsidRPr="00C80762">
        <w:rPr>
          <w:rFonts w:ascii="Palatino Linotype" w:hAnsi="Palatino Linotype" w:cs="Palatino Linotype"/>
          <w:sz w:val="22"/>
          <w:szCs w:val="22"/>
        </w:rPr>
        <w:t xml:space="preserve">of mild traumatic brain injury with hyperbaric oxygen. Undersea </w:t>
      </w:r>
      <w:proofErr w:type="spellStart"/>
      <w:r w:rsidRPr="00C80762">
        <w:rPr>
          <w:rFonts w:ascii="Palatino Linotype" w:hAnsi="Palatino Linotype" w:cs="Palatino Linotype"/>
          <w:sz w:val="22"/>
          <w:szCs w:val="22"/>
        </w:rPr>
        <w:t>Hyperb</w:t>
      </w:r>
      <w:proofErr w:type="spellEnd"/>
      <w:r w:rsidRPr="00C80762">
        <w:rPr>
          <w:rFonts w:ascii="Palatino Linotype" w:hAnsi="Palatino Linotype" w:cs="Palatino Linotype"/>
          <w:sz w:val="22"/>
          <w:szCs w:val="22"/>
        </w:rPr>
        <w:t xml:space="preserve"> Med. 2009 Nov-Dec;36(6):391-9. </w:t>
      </w:r>
    </w:p>
  </w:endnote>
  <w:endnote w:id="22">
    <w:p w14:paraId="43963FFE" w14:textId="77777777" w:rsidR="004A70CE" w:rsidRPr="00C80762" w:rsidRDefault="004A70CE" w:rsidP="00834472">
      <w:pPr>
        <w:pStyle w:val="HTMLPreformatted"/>
        <w:rPr>
          <w:rFonts w:ascii="Palatino Linotype" w:hAnsi="Palatino Linotype" w:cs="Palatino Linotype"/>
          <w:color w:val="000000"/>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w:t>
      </w:r>
      <w:r w:rsidRPr="00C80762">
        <w:rPr>
          <w:rFonts w:ascii="Palatino Linotype" w:hAnsi="Palatino Linotype" w:cs="Palatino Linotype"/>
          <w:color w:val="000000"/>
          <w:sz w:val="22"/>
          <w:szCs w:val="22"/>
        </w:rPr>
        <w:t xml:space="preserve">Harch PG, Andrews SR, Fogarty EF, Amen D, Pezzullo JC, Lucarini J, Aubrey C, Taylor DV, Staab PK, Van Meter KW. A phase I study of low-pressure hyperbaric oxygen therapy for blast-induced post-concussion syndrome and post-traumatic stress disorder. J Neurotrauma. 2012 Jan 1;29(1):168-85. </w:t>
      </w:r>
      <w:proofErr w:type="spellStart"/>
      <w:r w:rsidRPr="00C80762">
        <w:rPr>
          <w:rFonts w:ascii="Palatino Linotype" w:hAnsi="Palatino Linotype" w:cs="Palatino Linotype"/>
          <w:color w:val="000000"/>
          <w:sz w:val="22"/>
          <w:szCs w:val="22"/>
        </w:rPr>
        <w:t>doi</w:t>
      </w:r>
      <w:proofErr w:type="spellEnd"/>
      <w:r w:rsidRPr="00C80762">
        <w:rPr>
          <w:rFonts w:ascii="Palatino Linotype" w:hAnsi="Palatino Linotype" w:cs="Palatino Linotype"/>
          <w:color w:val="000000"/>
          <w:sz w:val="22"/>
          <w:szCs w:val="22"/>
        </w:rPr>
        <w:t>:</w:t>
      </w:r>
    </w:p>
    <w:p w14:paraId="7621D042" w14:textId="77777777" w:rsidR="004A70CE" w:rsidRPr="00C80762" w:rsidRDefault="004A70CE" w:rsidP="00834472">
      <w:pPr>
        <w:pStyle w:val="HTMLPreformatted"/>
        <w:rPr>
          <w:rFonts w:ascii="Palatino Linotype" w:hAnsi="Palatino Linotype"/>
          <w:sz w:val="22"/>
          <w:szCs w:val="22"/>
        </w:rPr>
      </w:pPr>
      <w:r w:rsidRPr="00C80762">
        <w:rPr>
          <w:rFonts w:ascii="Palatino Linotype" w:hAnsi="Palatino Linotype" w:cs="Palatino Linotype"/>
          <w:sz w:val="22"/>
          <w:szCs w:val="22"/>
        </w:rPr>
        <w:t xml:space="preserve">10.1089/neu.2011.1895. </w:t>
      </w:r>
      <w:proofErr w:type="spellStart"/>
      <w:r w:rsidRPr="00C80762">
        <w:rPr>
          <w:rFonts w:ascii="Palatino Linotype" w:hAnsi="Palatino Linotype" w:cs="Palatino Linotype"/>
          <w:sz w:val="22"/>
          <w:szCs w:val="22"/>
        </w:rPr>
        <w:t>Epub</w:t>
      </w:r>
      <w:proofErr w:type="spellEnd"/>
      <w:r w:rsidRPr="00C80762">
        <w:rPr>
          <w:rFonts w:ascii="Palatino Linotype" w:hAnsi="Palatino Linotype" w:cs="Palatino Linotype"/>
          <w:sz w:val="22"/>
          <w:szCs w:val="22"/>
        </w:rPr>
        <w:t xml:space="preserve"> 2011 Nov 22.</w:t>
      </w:r>
    </w:p>
  </w:endnote>
  <w:endnote w:id="23">
    <w:p w14:paraId="3F4CE869" w14:textId="77777777" w:rsidR="004A70CE" w:rsidRPr="00C80762" w:rsidRDefault="004A70CE" w:rsidP="00834472">
      <w:pPr>
        <w:spacing w:after="0" w:line="240" w:lineRule="auto"/>
        <w:rPr>
          <w:sz w:val="22"/>
          <w:szCs w:val="22"/>
        </w:rPr>
      </w:pPr>
      <w:r w:rsidRPr="00C80762">
        <w:rPr>
          <w:rStyle w:val="EndnoteReference"/>
          <w:rFonts w:cs="Palatino Linotype"/>
          <w:sz w:val="22"/>
          <w:szCs w:val="22"/>
        </w:rPr>
        <w:endnoteRef/>
      </w:r>
      <w:r w:rsidRPr="00C80762">
        <w:rPr>
          <w:rFonts w:cs="Palatino Linotype"/>
          <w:sz w:val="22"/>
          <w:szCs w:val="22"/>
        </w:rPr>
        <w:t xml:space="preserve"> Hart GB, Thompson RE. The treatment of cerebral ischemia with hyperbaric oxygen (OHP). Stroke. 1971 May-Jun;2(3):247-50. </w:t>
      </w:r>
    </w:p>
  </w:endnote>
  <w:endnote w:id="24">
    <w:p w14:paraId="047CD5AC"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r w:rsidRPr="00C80762">
        <w:rPr>
          <w:rFonts w:ascii="Palatino Linotype" w:hAnsi="Palatino Linotype" w:cs="Segoe UI"/>
          <w:color w:val="212121"/>
          <w:sz w:val="22"/>
          <w:szCs w:val="22"/>
          <w:shd w:val="clear" w:color="auto" w:fill="FFFFFF"/>
        </w:rPr>
        <w:t>Neubauer RA, Gottlieb SF, Pevsner NH. Hyperbaric oxygen for treatment of closed head injury. South Med J. 1994;87(9):933-936.</w:t>
      </w:r>
    </w:p>
  </w:endnote>
  <w:endnote w:id="25">
    <w:p w14:paraId="441DCC93"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r w:rsidRPr="00C80762">
        <w:rPr>
          <w:rFonts w:ascii="Palatino Linotype" w:hAnsi="Palatino Linotype" w:cs="Segoe UI"/>
          <w:color w:val="212121"/>
          <w:sz w:val="22"/>
          <w:szCs w:val="22"/>
          <w:shd w:val="clear" w:color="auto" w:fill="FFFFFF"/>
        </w:rPr>
        <w:t xml:space="preserve">Neubauer RA, Gottlieb SF. Hyperbaric oxygen for brain injury. J </w:t>
      </w:r>
      <w:proofErr w:type="spellStart"/>
      <w:r w:rsidRPr="00C80762">
        <w:rPr>
          <w:rFonts w:ascii="Palatino Linotype" w:hAnsi="Palatino Linotype" w:cs="Segoe UI"/>
          <w:color w:val="212121"/>
          <w:sz w:val="22"/>
          <w:szCs w:val="22"/>
          <w:shd w:val="clear" w:color="auto" w:fill="FFFFFF"/>
        </w:rPr>
        <w:t>Neurosurg</w:t>
      </w:r>
      <w:proofErr w:type="spellEnd"/>
      <w:r w:rsidRPr="00C80762">
        <w:rPr>
          <w:rFonts w:ascii="Palatino Linotype" w:hAnsi="Palatino Linotype" w:cs="Segoe UI"/>
          <w:color w:val="212121"/>
          <w:sz w:val="22"/>
          <w:szCs w:val="22"/>
          <w:shd w:val="clear" w:color="auto" w:fill="FFFFFF"/>
        </w:rPr>
        <w:t>. 1993;78(4):687-688.</w:t>
      </w:r>
    </w:p>
  </w:endnote>
  <w:endnote w:id="26">
    <w:p w14:paraId="463DF9DF" w14:textId="77777777" w:rsidR="004A70CE" w:rsidRPr="00C80762" w:rsidRDefault="004A70CE" w:rsidP="00834472">
      <w:pPr>
        <w:spacing w:after="0" w:line="240" w:lineRule="auto"/>
        <w:rPr>
          <w:sz w:val="22"/>
          <w:szCs w:val="22"/>
        </w:rPr>
      </w:pPr>
      <w:r w:rsidRPr="00C80762">
        <w:rPr>
          <w:rStyle w:val="EndnoteReference"/>
          <w:rFonts w:cs="Palatino Linotype"/>
          <w:sz w:val="22"/>
          <w:szCs w:val="22"/>
        </w:rPr>
        <w:endnoteRef/>
      </w:r>
      <w:r w:rsidRPr="00C80762">
        <w:rPr>
          <w:rFonts w:cs="Palatino Linotype"/>
          <w:sz w:val="22"/>
          <w:szCs w:val="22"/>
        </w:rPr>
        <w:t xml:space="preserve"> </w:t>
      </w:r>
      <w:r w:rsidRPr="00C80762">
        <w:rPr>
          <w:rFonts w:cs="Palatino Linotype"/>
          <w:color w:val="000000"/>
          <w:sz w:val="22"/>
          <w:szCs w:val="22"/>
        </w:rPr>
        <w:t xml:space="preserve">Neubauer RA, James P. Cerebral oxygenation and the recoverable brain. Neurol </w:t>
      </w:r>
      <w:r w:rsidRPr="00C80762">
        <w:rPr>
          <w:rFonts w:cs="Palatino Linotype"/>
          <w:sz w:val="22"/>
          <w:szCs w:val="22"/>
        </w:rPr>
        <w:t xml:space="preserve">Res. 1998; 20 Suppl </w:t>
      </w:r>
      <w:proofErr w:type="gramStart"/>
      <w:r w:rsidRPr="00C80762">
        <w:rPr>
          <w:rFonts w:cs="Palatino Linotype"/>
          <w:sz w:val="22"/>
          <w:szCs w:val="22"/>
        </w:rPr>
        <w:t>1:S</w:t>
      </w:r>
      <w:proofErr w:type="gramEnd"/>
      <w:r w:rsidRPr="00C80762">
        <w:rPr>
          <w:rFonts w:cs="Palatino Linotype"/>
          <w:sz w:val="22"/>
          <w:szCs w:val="22"/>
        </w:rPr>
        <w:t>33-6.</w:t>
      </w:r>
    </w:p>
  </w:endnote>
  <w:endnote w:id="27">
    <w:p w14:paraId="52A7AB04" w14:textId="1C8AF7AD" w:rsidR="004A70CE" w:rsidRPr="00C80762" w:rsidRDefault="004A70CE" w:rsidP="00834472">
      <w:pPr>
        <w:pStyle w:val="HTMLPreformatted"/>
        <w:rPr>
          <w:rFonts w:ascii="Palatino Linotype" w:hAnsi="Palatino Linotype"/>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Hyperbaric Oxygen Therapy Can Improve Post Concussion Syndrome Years after Mild Traumatic Brain Injury - Randomized Prospective Trial. Rahav Boussi-Gross, Haim Golan, Gregori </w:t>
      </w:r>
      <w:proofErr w:type="spellStart"/>
      <w:r w:rsidRPr="00C80762">
        <w:rPr>
          <w:rFonts w:ascii="Palatino Linotype" w:hAnsi="Palatino Linotype" w:cs="Palatino Linotype"/>
          <w:sz w:val="22"/>
          <w:szCs w:val="22"/>
        </w:rPr>
        <w:t>Fishlev</w:t>
      </w:r>
      <w:proofErr w:type="spellEnd"/>
      <w:r w:rsidRPr="00C80762">
        <w:rPr>
          <w:rFonts w:ascii="Palatino Linotype" w:hAnsi="Palatino Linotype" w:cs="Palatino Linotype"/>
          <w:sz w:val="22"/>
          <w:szCs w:val="22"/>
        </w:rPr>
        <w:t xml:space="preserve">, Yair </w:t>
      </w:r>
      <w:proofErr w:type="spellStart"/>
      <w:r w:rsidRPr="00C80762">
        <w:rPr>
          <w:rFonts w:ascii="Palatino Linotype" w:hAnsi="Palatino Linotype" w:cs="Palatino Linotype"/>
          <w:sz w:val="22"/>
          <w:szCs w:val="22"/>
        </w:rPr>
        <w:t>Bechor</w:t>
      </w:r>
      <w:proofErr w:type="spellEnd"/>
      <w:r w:rsidRPr="00C80762">
        <w:rPr>
          <w:rFonts w:ascii="Palatino Linotype" w:hAnsi="Palatino Linotype" w:cs="Palatino Linotype"/>
          <w:sz w:val="22"/>
          <w:szCs w:val="22"/>
        </w:rPr>
        <w:t xml:space="preserve">, Olga Volkov, Jacob Bergan, Mony Friedman, Dan </w:t>
      </w:r>
      <w:proofErr w:type="spellStart"/>
      <w:r w:rsidRPr="00C80762">
        <w:rPr>
          <w:rFonts w:ascii="Palatino Linotype" w:hAnsi="Palatino Linotype" w:cs="Palatino Linotype"/>
          <w:sz w:val="22"/>
          <w:szCs w:val="22"/>
        </w:rPr>
        <w:t>Hoofien</w:t>
      </w:r>
      <w:proofErr w:type="spellEnd"/>
      <w:r w:rsidRPr="00C80762">
        <w:rPr>
          <w:rFonts w:ascii="Palatino Linotype" w:hAnsi="Palatino Linotype" w:cs="Palatino Linotype"/>
          <w:sz w:val="22"/>
          <w:szCs w:val="22"/>
        </w:rPr>
        <w:t xml:space="preserve">, Nathan </w:t>
      </w:r>
      <w:proofErr w:type="spellStart"/>
      <w:r w:rsidRPr="00C80762">
        <w:rPr>
          <w:rFonts w:ascii="Palatino Linotype" w:hAnsi="Palatino Linotype" w:cs="Palatino Linotype"/>
          <w:sz w:val="22"/>
          <w:szCs w:val="22"/>
        </w:rPr>
        <w:t>Shlamkovitch</w:t>
      </w:r>
      <w:proofErr w:type="spellEnd"/>
      <w:r w:rsidRPr="00C80762">
        <w:rPr>
          <w:rFonts w:ascii="Palatino Linotype" w:hAnsi="Palatino Linotype" w:cs="Palatino Linotype"/>
          <w:sz w:val="22"/>
          <w:szCs w:val="22"/>
        </w:rPr>
        <w:t xml:space="preserve">, Eshel Ben-Jacob, Shai Efrati </w:t>
      </w:r>
      <w:proofErr w:type="spellStart"/>
      <w:r w:rsidRPr="00C80762">
        <w:rPr>
          <w:rFonts w:ascii="Palatino Linotype" w:hAnsi="Palatino Linotype" w:cs="Palatino Linotype"/>
          <w:color w:val="000000"/>
          <w:sz w:val="22"/>
          <w:szCs w:val="22"/>
        </w:rPr>
        <w:t>PLoS</w:t>
      </w:r>
      <w:proofErr w:type="spellEnd"/>
      <w:r w:rsidRPr="00C80762">
        <w:rPr>
          <w:rFonts w:ascii="Palatino Linotype" w:hAnsi="Palatino Linotype" w:cs="Palatino Linotype"/>
          <w:color w:val="000000"/>
          <w:sz w:val="22"/>
          <w:szCs w:val="22"/>
        </w:rPr>
        <w:t xml:space="preserve"> One. 2013; 8(11): e79995.  Published online 2013 Nov 15. </w:t>
      </w:r>
    </w:p>
  </w:endnote>
  <w:endnote w:id="28">
    <w:p w14:paraId="05588B7A" w14:textId="77777777" w:rsidR="004A70CE" w:rsidRPr="00C80762" w:rsidRDefault="004A70CE" w:rsidP="00834472">
      <w:pPr>
        <w:pStyle w:val="HTMLPreformatted"/>
        <w:rPr>
          <w:rFonts w:ascii="Palatino Linotype" w:hAnsi="Palatino Linotype"/>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w:t>
      </w:r>
      <w:proofErr w:type="spellStart"/>
      <w:r w:rsidRPr="00C80762">
        <w:rPr>
          <w:rFonts w:ascii="Palatino Linotype" w:hAnsi="Palatino Linotype" w:cs="Segoe UI"/>
          <w:color w:val="212121"/>
          <w:sz w:val="22"/>
          <w:szCs w:val="22"/>
          <w:shd w:val="clear" w:color="auto" w:fill="FFFFFF"/>
        </w:rPr>
        <w:t>Mozayeni</w:t>
      </w:r>
      <w:proofErr w:type="spellEnd"/>
      <w:r w:rsidRPr="00C80762">
        <w:rPr>
          <w:rFonts w:ascii="Palatino Linotype" w:hAnsi="Palatino Linotype" w:cs="Segoe UI"/>
          <w:color w:val="212121"/>
          <w:sz w:val="22"/>
          <w:szCs w:val="22"/>
          <w:shd w:val="clear" w:color="auto" w:fill="FFFFFF"/>
        </w:rPr>
        <w:t xml:space="preserve"> BR, Duncan W, Zant E, Love TL, Beckman RL, Stoller KP. The National Brain Injury Rescue and Rehabilitation Study - a multicenter observational study of hyperbaric oxygen for mild traumatic brain injury with post-concussive symptoms. Med Gas Res. 2019;9(1):1-12. 6</w:t>
      </w:r>
    </w:p>
  </w:endnote>
  <w:endnote w:id="29">
    <w:p w14:paraId="30EB84B0" w14:textId="67312BE7" w:rsidR="004A70CE" w:rsidRPr="00C80762" w:rsidRDefault="004A70CE" w:rsidP="00834472">
      <w:pPr>
        <w:pStyle w:val="HTMLPreformatted"/>
        <w:rPr>
          <w:rFonts w:ascii="Palatino Linotype" w:hAnsi="Palatino Linotype"/>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w:t>
      </w:r>
      <w:proofErr w:type="spellStart"/>
      <w:r w:rsidRPr="00C80762">
        <w:rPr>
          <w:rFonts w:ascii="Palatino Linotype" w:hAnsi="Palatino Linotype" w:cs="Palatino Linotype"/>
          <w:sz w:val="22"/>
          <w:szCs w:val="22"/>
        </w:rPr>
        <w:t>Rockswold</w:t>
      </w:r>
      <w:proofErr w:type="spellEnd"/>
      <w:r w:rsidRPr="00C80762">
        <w:rPr>
          <w:rFonts w:ascii="Palatino Linotype" w:hAnsi="Palatino Linotype" w:cs="Palatino Linotype"/>
          <w:sz w:val="22"/>
          <w:szCs w:val="22"/>
        </w:rPr>
        <w:t xml:space="preserve"> SB, </w:t>
      </w:r>
      <w:proofErr w:type="spellStart"/>
      <w:r w:rsidRPr="00C80762">
        <w:rPr>
          <w:rFonts w:ascii="Palatino Linotype" w:hAnsi="Palatino Linotype" w:cs="Palatino Linotype"/>
          <w:sz w:val="22"/>
          <w:szCs w:val="22"/>
        </w:rPr>
        <w:t>Rockswold</w:t>
      </w:r>
      <w:proofErr w:type="spellEnd"/>
      <w:r w:rsidRPr="00C80762">
        <w:rPr>
          <w:rFonts w:ascii="Palatino Linotype" w:hAnsi="Palatino Linotype" w:cs="Palatino Linotype"/>
          <w:sz w:val="22"/>
          <w:szCs w:val="22"/>
        </w:rPr>
        <w:t xml:space="preserve"> GL, Zaun DA, Liu J. A prospective, randomized Phase II clinical trial to evaluate the effect of combined hyperbaric and </w:t>
      </w:r>
      <w:proofErr w:type="spellStart"/>
      <w:r w:rsidRPr="00C80762">
        <w:rPr>
          <w:rFonts w:ascii="Palatino Linotype" w:hAnsi="Palatino Linotype" w:cs="Palatino Linotype"/>
          <w:sz w:val="22"/>
          <w:szCs w:val="22"/>
        </w:rPr>
        <w:t>normobaric</w:t>
      </w:r>
      <w:proofErr w:type="spellEnd"/>
      <w:r w:rsidRPr="00C80762">
        <w:rPr>
          <w:rFonts w:ascii="Palatino Linotype" w:hAnsi="Palatino Linotype" w:cs="Palatino Linotype"/>
          <w:sz w:val="22"/>
          <w:szCs w:val="22"/>
        </w:rPr>
        <w:t xml:space="preserve"> hyperoxia on cerebral metabolism, intracranial pressure, oxygen toxicity, and clinical outcome in severe traumatic brain injury. J </w:t>
      </w:r>
      <w:proofErr w:type="spellStart"/>
      <w:r w:rsidRPr="00C80762">
        <w:rPr>
          <w:rFonts w:ascii="Palatino Linotype" w:hAnsi="Palatino Linotype" w:cs="Palatino Linotype"/>
          <w:sz w:val="22"/>
          <w:szCs w:val="22"/>
        </w:rPr>
        <w:t>Neurosurg</w:t>
      </w:r>
      <w:proofErr w:type="spellEnd"/>
      <w:r w:rsidRPr="00C80762">
        <w:rPr>
          <w:rFonts w:ascii="Palatino Linotype" w:hAnsi="Palatino Linotype" w:cs="Palatino Linotype"/>
          <w:sz w:val="22"/>
          <w:szCs w:val="22"/>
        </w:rPr>
        <w:t xml:space="preserve">. 2013 Jun;118(6):1317-28. </w:t>
      </w:r>
    </w:p>
  </w:endnote>
  <w:endnote w:id="30">
    <w:p w14:paraId="564E24B6" w14:textId="69990401" w:rsidR="004A70CE" w:rsidRPr="00C80762" w:rsidRDefault="004A70CE" w:rsidP="00834472">
      <w:pPr>
        <w:pStyle w:val="HTMLPreformatted"/>
        <w:rPr>
          <w:rFonts w:ascii="Palatino Linotype" w:hAnsi="Palatino Linotype"/>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Harch PG, Andrews SR, Fogarty EF, Lucarini J, Van Meter KW. Case control study: hyperbaric oxygen treatment of mild traumatic brain injury persistent post-concussion syndrome and post-traumatic stress disorder. Med Gas Res. 2017 Oct 17;7(3):156-174. </w:t>
      </w:r>
    </w:p>
  </w:endnote>
  <w:endnote w:id="31">
    <w:p w14:paraId="0EE32C9E" w14:textId="77777777" w:rsidR="004A70CE" w:rsidRPr="00C80762" w:rsidRDefault="004A70CE" w:rsidP="00834472">
      <w:pPr>
        <w:pStyle w:val="HTMLPreformatted"/>
        <w:rPr>
          <w:rFonts w:ascii="Palatino Linotype" w:hAnsi="Palatino Linotype"/>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Figueroa XA, Wright JK. Clinical results in brain injury trials using HBO2 therapy: Another perspective. Undersea </w:t>
      </w:r>
      <w:proofErr w:type="spellStart"/>
      <w:r w:rsidRPr="00C80762">
        <w:rPr>
          <w:rFonts w:ascii="Palatino Linotype" w:hAnsi="Palatino Linotype" w:cs="Palatino Linotype"/>
          <w:sz w:val="22"/>
          <w:szCs w:val="22"/>
        </w:rPr>
        <w:t>Hyperb</w:t>
      </w:r>
      <w:proofErr w:type="spellEnd"/>
      <w:r w:rsidRPr="00C80762">
        <w:rPr>
          <w:rFonts w:ascii="Palatino Linotype" w:hAnsi="Palatino Linotype" w:cs="Palatino Linotype"/>
          <w:sz w:val="22"/>
          <w:szCs w:val="22"/>
        </w:rPr>
        <w:t xml:space="preserve"> Med. 2015 Jul-Aug;42(4):333-51.</w:t>
      </w:r>
    </w:p>
  </w:endnote>
  <w:endnote w:id="32">
    <w:p w14:paraId="3C335C5A" w14:textId="77777777" w:rsidR="004A70CE" w:rsidRPr="00C80762" w:rsidRDefault="004A70CE" w:rsidP="00834472">
      <w:pPr>
        <w:pStyle w:val="HTMLPreformatted"/>
        <w:rPr>
          <w:rFonts w:ascii="Palatino Linotype" w:hAnsi="Palatino Linotype" w:cs="Palatino Linotype"/>
          <w:color w:val="000000"/>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w:t>
      </w:r>
      <w:r w:rsidRPr="00C80762">
        <w:rPr>
          <w:rFonts w:ascii="Palatino Linotype" w:hAnsi="Palatino Linotype" w:cs="Palatino Linotype"/>
          <w:color w:val="000000"/>
          <w:sz w:val="22"/>
          <w:szCs w:val="22"/>
        </w:rPr>
        <w:t>Hart BB, Weaver LK, Gupta A, Wilson SH, Vijayarangan A, Deru K, Hebert D.</w:t>
      </w:r>
    </w:p>
    <w:p w14:paraId="196AAFF4" w14:textId="77777777" w:rsidR="004A70CE" w:rsidRPr="00C80762" w:rsidRDefault="004A70CE" w:rsidP="0083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2"/>
          <w:szCs w:val="22"/>
        </w:rPr>
      </w:pPr>
      <w:r w:rsidRPr="00C80762">
        <w:rPr>
          <w:rFonts w:cs="Palatino Linotype"/>
          <w:sz w:val="22"/>
          <w:szCs w:val="22"/>
        </w:rPr>
        <w:t xml:space="preserve">Hyperbaric oxygen for mTBI-associated PCS and PTSD: Pooled analysis of results from Department of Defense and other published studies. Undersea </w:t>
      </w:r>
      <w:proofErr w:type="spellStart"/>
      <w:r w:rsidRPr="00C80762">
        <w:rPr>
          <w:rFonts w:cs="Palatino Linotype"/>
          <w:sz w:val="22"/>
          <w:szCs w:val="22"/>
        </w:rPr>
        <w:t>Hyperb</w:t>
      </w:r>
      <w:proofErr w:type="spellEnd"/>
      <w:r w:rsidRPr="00C80762">
        <w:rPr>
          <w:rFonts w:cs="Palatino Linotype"/>
          <w:sz w:val="22"/>
          <w:szCs w:val="22"/>
        </w:rPr>
        <w:t xml:space="preserve"> Med. 2019 BIMA Special Edition No. Feb;46(3):353-383.</w:t>
      </w:r>
    </w:p>
  </w:endnote>
  <w:endnote w:id="33">
    <w:p w14:paraId="2CECF384" w14:textId="2E3B9240" w:rsidR="004A70CE" w:rsidRPr="00C80762" w:rsidRDefault="004A70CE" w:rsidP="00834472">
      <w:pPr>
        <w:pStyle w:val="HTMLPreformatted"/>
        <w:rPr>
          <w:rFonts w:ascii="Palatino Linotype" w:hAnsi="Palatino Linotype"/>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w:t>
      </w:r>
      <w:r w:rsidRPr="00C80762">
        <w:rPr>
          <w:rFonts w:ascii="Palatino Linotype" w:hAnsi="Palatino Linotype" w:cs="Palatino Linotype"/>
          <w:color w:val="000000"/>
          <w:sz w:val="22"/>
          <w:szCs w:val="22"/>
        </w:rPr>
        <w:t xml:space="preserve">Sahni T, Jain M, Prasad R, </w:t>
      </w:r>
      <w:proofErr w:type="spellStart"/>
      <w:r w:rsidRPr="00C80762">
        <w:rPr>
          <w:rFonts w:ascii="Palatino Linotype" w:hAnsi="Palatino Linotype" w:cs="Palatino Linotype"/>
          <w:color w:val="000000"/>
          <w:sz w:val="22"/>
          <w:szCs w:val="22"/>
        </w:rPr>
        <w:t>Sogani</w:t>
      </w:r>
      <w:proofErr w:type="spellEnd"/>
      <w:r w:rsidRPr="00C80762">
        <w:rPr>
          <w:rFonts w:ascii="Palatino Linotype" w:hAnsi="Palatino Linotype" w:cs="Palatino Linotype"/>
          <w:color w:val="000000"/>
          <w:sz w:val="22"/>
          <w:szCs w:val="22"/>
        </w:rPr>
        <w:t xml:space="preserve"> SK, Singh VP. Use of hyperbaric oxygen in traumatic brain injury: retrospective analysis of data of 20 patients treated at a tertiary care </w:t>
      </w:r>
      <w:proofErr w:type="spellStart"/>
      <w:r w:rsidRPr="00C80762">
        <w:rPr>
          <w:rFonts w:ascii="Palatino Linotype" w:hAnsi="Palatino Linotype" w:cs="Palatino Linotype"/>
          <w:color w:val="000000"/>
          <w:sz w:val="22"/>
          <w:szCs w:val="22"/>
        </w:rPr>
        <w:t>centre</w:t>
      </w:r>
      <w:proofErr w:type="spellEnd"/>
      <w:r w:rsidRPr="00C80762">
        <w:rPr>
          <w:rFonts w:ascii="Palatino Linotype" w:hAnsi="Palatino Linotype" w:cs="Palatino Linotype"/>
          <w:color w:val="000000"/>
          <w:sz w:val="22"/>
          <w:szCs w:val="22"/>
        </w:rPr>
        <w:t xml:space="preserve">. Br J </w:t>
      </w:r>
      <w:proofErr w:type="spellStart"/>
      <w:r w:rsidRPr="00C80762">
        <w:rPr>
          <w:rFonts w:ascii="Palatino Linotype" w:hAnsi="Palatino Linotype" w:cs="Palatino Linotype"/>
          <w:color w:val="000000"/>
          <w:sz w:val="22"/>
          <w:szCs w:val="22"/>
        </w:rPr>
        <w:t>Neurosurg</w:t>
      </w:r>
      <w:proofErr w:type="spellEnd"/>
      <w:r w:rsidRPr="00C80762">
        <w:rPr>
          <w:rFonts w:ascii="Palatino Linotype" w:hAnsi="Palatino Linotype" w:cs="Palatino Linotype"/>
          <w:color w:val="000000"/>
          <w:sz w:val="22"/>
          <w:szCs w:val="22"/>
        </w:rPr>
        <w:t xml:space="preserve">. 2012 Apr;26(2):202-7. </w:t>
      </w:r>
    </w:p>
  </w:endnote>
  <w:endnote w:id="34">
    <w:p w14:paraId="1946DA8F" w14:textId="3E666CB4" w:rsidR="004A70CE" w:rsidRPr="00C80762" w:rsidRDefault="004A70CE" w:rsidP="00834472">
      <w:pPr>
        <w:pStyle w:val="HTMLPreformatted"/>
        <w:rPr>
          <w:rFonts w:ascii="Palatino Linotype" w:hAnsi="Palatino Linotype"/>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w:t>
      </w:r>
      <w:r w:rsidRPr="00C80762">
        <w:rPr>
          <w:rFonts w:ascii="Palatino Linotype" w:hAnsi="Palatino Linotype" w:cs="Palatino Linotype"/>
          <w:color w:val="000000"/>
          <w:sz w:val="22"/>
          <w:szCs w:val="22"/>
        </w:rPr>
        <w:t xml:space="preserve">Wolf G, Cifu D, Baugh L, Carne W, </w:t>
      </w:r>
      <w:proofErr w:type="spellStart"/>
      <w:r w:rsidRPr="00C80762">
        <w:rPr>
          <w:rFonts w:ascii="Palatino Linotype" w:hAnsi="Palatino Linotype" w:cs="Palatino Linotype"/>
          <w:color w:val="000000"/>
          <w:sz w:val="22"/>
          <w:szCs w:val="22"/>
        </w:rPr>
        <w:t>Profenna</w:t>
      </w:r>
      <w:proofErr w:type="spellEnd"/>
      <w:r w:rsidRPr="00C80762">
        <w:rPr>
          <w:rFonts w:ascii="Palatino Linotype" w:hAnsi="Palatino Linotype" w:cs="Palatino Linotype"/>
          <w:color w:val="000000"/>
          <w:sz w:val="22"/>
          <w:szCs w:val="22"/>
        </w:rPr>
        <w:t xml:space="preserve"> L. The effect of hyperbaric oxygen on symptoms after mild traumatic brain injury. J Neurotrauma. 2012 Nov </w:t>
      </w:r>
      <w:r w:rsidRPr="00C80762">
        <w:rPr>
          <w:rFonts w:ascii="Palatino Linotype" w:hAnsi="Palatino Linotype" w:cs="Palatino Linotype"/>
          <w:sz w:val="22"/>
          <w:szCs w:val="22"/>
        </w:rPr>
        <w:t>20;29(17):2606-12</w:t>
      </w:r>
    </w:p>
  </w:endnote>
  <w:endnote w:id="35">
    <w:p w14:paraId="4E3B5DFD" w14:textId="77777777" w:rsidR="004A70CE" w:rsidRPr="00C80762" w:rsidRDefault="004A70CE" w:rsidP="00834472">
      <w:pPr>
        <w:pStyle w:val="HTMLPreformatted"/>
        <w:rPr>
          <w:rFonts w:ascii="Palatino Linotype" w:hAnsi="Palatino Linotype"/>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Wolf EG, Prye J, Michaelson R, Brower G, </w:t>
      </w:r>
      <w:proofErr w:type="spellStart"/>
      <w:r w:rsidRPr="00C80762">
        <w:rPr>
          <w:rFonts w:ascii="Palatino Linotype" w:hAnsi="Palatino Linotype" w:cs="Palatino Linotype"/>
          <w:sz w:val="22"/>
          <w:szCs w:val="22"/>
        </w:rPr>
        <w:t>Profenna</w:t>
      </w:r>
      <w:proofErr w:type="spellEnd"/>
      <w:r w:rsidRPr="00C80762">
        <w:rPr>
          <w:rFonts w:ascii="Palatino Linotype" w:hAnsi="Palatino Linotype" w:cs="Palatino Linotype"/>
          <w:sz w:val="22"/>
          <w:szCs w:val="22"/>
        </w:rPr>
        <w:t xml:space="preserve"> L, Boneta O. Hyperbaric side effects in a traumatic brain injury randomized clinical trial. Undersea </w:t>
      </w:r>
      <w:proofErr w:type="spellStart"/>
      <w:r w:rsidRPr="00C80762">
        <w:rPr>
          <w:rFonts w:ascii="Palatino Linotype" w:hAnsi="Palatino Linotype" w:cs="Palatino Linotype"/>
          <w:sz w:val="22"/>
          <w:szCs w:val="22"/>
        </w:rPr>
        <w:t>Hyperb</w:t>
      </w:r>
      <w:proofErr w:type="spellEnd"/>
      <w:r w:rsidRPr="00C80762">
        <w:rPr>
          <w:rFonts w:ascii="Palatino Linotype" w:hAnsi="Palatino Linotype" w:cs="Palatino Linotype"/>
          <w:sz w:val="22"/>
          <w:szCs w:val="22"/>
        </w:rPr>
        <w:t xml:space="preserve"> Med. 2012 Nov-Dec;39(6):1075-82.</w:t>
      </w:r>
    </w:p>
  </w:endnote>
  <w:endnote w:id="36">
    <w:p w14:paraId="56919C09" w14:textId="77777777" w:rsidR="004A70CE" w:rsidRPr="00C80762" w:rsidRDefault="004A70CE" w:rsidP="00834472">
      <w:pPr>
        <w:pStyle w:val="HTMLPreformatted"/>
        <w:rPr>
          <w:rFonts w:ascii="Palatino Linotype" w:hAnsi="Palatino Linotype"/>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Weaver LK, Wilson SH, Lindblad AS, Churchill S, Deru K, Price RC, Williams CS, Orrison WW, Walker JM, Meehan A, </w:t>
      </w:r>
      <w:proofErr w:type="spellStart"/>
      <w:r w:rsidRPr="00C80762">
        <w:rPr>
          <w:rFonts w:ascii="Palatino Linotype" w:hAnsi="Palatino Linotype" w:cs="Palatino Linotype"/>
          <w:sz w:val="22"/>
          <w:szCs w:val="22"/>
        </w:rPr>
        <w:t>Mirow</w:t>
      </w:r>
      <w:proofErr w:type="spellEnd"/>
      <w:r w:rsidRPr="00C80762">
        <w:rPr>
          <w:rFonts w:ascii="Palatino Linotype" w:hAnsi="Palatino Linotype" w:cs="Palatino Linotype"/>
          <w:sz w:val="22"/>
          <w:szCs w:val="22"/>
        </w:rPr>
        <w:t xml:space="preserve"> S. Hyperbaric oxygen for post-concussive symptoms in United States military service members: a randomized clinical trial. Undersea </w:t>
      </w:r>
      <w:proofErr w:type="spellStart"/>
      <w:r w:rsidRPr="00C80762">
        <w:rPr>
          <w:rFonts w:ascii="Palatino Linotype" w:hAnsi="Palatino Linotype" w:cs="Palatino Linotype"/>
          <w:sz w:val="22"/>
          <w:szCs w:val="22"/>
        </w:rPr>
        <w:t>Hyperb</w:t>
      </w:r>
      <w:proofErr w:type="spellEnd"/>
      <w:r w:rsidRPr="00C80762">
        <w:rPr>
          <w:rFonts w:ascii="Palatino Linotype" w:hAnsi="Palatino Linotype" w:cs="Palatino Linotype"/>
          <w:sz w:val="22"/>
          <w:szCs w:val="22"/>
        </w:rPr>
        <w:t xml:space="preserve"> Med. 2018 Mar-Apr;45(2):129-156.</w:t>
      </w:r>
    </w:p>
  </w:endnote>
  <w:endnote w:id="37">
    <w:p w14:paraId="4375DEDF" w14:textId="578C7A03"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Cifu DX, Hoke KW, Wetzel PA, Wares JR, Gitchel G, Carne W. Effects of hyperbaric oxygen on eye tracking abnormalities in males after mild traumatic brain injury. J </w:t>
      </w:r>
      <w:proofErr w:type="spellStart"/>
      <w:r w:rsidRPr="00C80762">
        <w:rPr>
          <w:rFonts w:ascii="Palatino Linotype" w:hAnsi="Palatino Linotype"/>
          <w:sz w:val="22"/>
          <w:szCs w:val="22"/>
        </w:rPr>
        <w:t>Rehabil</w:t>
      </w:r>
      <w:proofErr w:type="spellEnd"/>
      <w:r w:rsidRPr="00C80762">
        <w:rPr>
          <w:rFonts w:ascii="Palatino Linotype" w:hAnsi="Palatino Linotype"/>
          <w:sz w:val="22"/>
          <w:szCs w:val="22"/>
        </w:rPr>
        <w:t xml:space="preserve"> Res Dev. 2014;51(7):1047-56. </w:t>
      </w:r>
    </w:p>
  </w:endnote>
  <w:endnote w:id="38">
    <w:p w14:paraId="7262F0C1" w14:textId="77777777" w:rsidR="004A70CE" w:rsidRPr="00C80762" w:rsidRDefault="004A70CE" w:rsidP="00834472">
      <w:pPr>
        <w:spacing w:after="0" w:line="240" w:lineRule="auto"/>
        <w:rPr>
          <w:sz w:val="22"/>
          <w:szCs w:val="22"/>
        </w:rPr>
      </w:pPr>
      <w:r w:rsidRPr="00C80762">
        <w:rPr>
          <w:rStyle w:val="EndnoteReference"/>
          <w:rFonts w:cs="Palatino Linotype"/>
          <w:sz w:val="22"/>
          <w:szCs w:val="22"/>
        </w:rPr>
        <w:endnoteRef/>
      </w:r>
      <w:r w:rsidRPr="00C80762">
        <w:rPr>
          <w:rFonts w:cs="Palatino Linotype"/>
          <w:sz w:val="22"/>
          <w:szCs w:val="22"/>
        </w:rPr>
        <w:t xml:space="preserve"> </w:t>
      </w:r>
      <w:r w:rsidRPr="00C80762">
        <w:rPr>
          <w:rFonts w:cs="Palatino Linotype"/>
          <w:color w:val="000000"/>
          <w:sz w:val="22"/>
          <w:szCs w:val="22"/>
        </w:rPr>
        <w:t xml:space="preserve">Chen Y, Nadi NS, </w:t>
      </w:r>
      <w:proofErr w:type="spellStart"/>
      <w:r w:rsidRPr="00C80762">
        <w:rPr>
          <w:rFonts w:cs="Palatino Linotype"/>
          <w:color w:val="000000"/>
          <w:sz w:val="22"/>
          <w:szCs w:val="22"/>
        </w:rPr>
        <w:t>Chavko</w:t>
      </w:r>
      <w:proofErr w:type="spellEnd"/>
      <w:r w:rsidRPr="00C80762">
        <w:rPr>
          <w:rFonts w:cs="Palatino Linotype"/>
          <w:color w:val="000000"/>
          <w:sz w:val="22"/>
          <w:szCs w:val="22"/>
        </w:rPr>
        <w:t xml:space="preserve"> M, Auker CR, McCarron RM. Microarray analysis of gene expression in rat cortical neurons exposed to hyperbaric air and oxygen. </w:t>
      </w:r>
      <w:proofErr w:type="spellStart"/>
      <w:r w:rsidRPr="00C80762">
        <w:rPr>
          <w:rFonts w:cs="Palatino Linotype"/>
          <w:color w:val="000000"/>
          <w:sz w:val="22"/>
          <w:szCs w:val="22"/>
        </w:rPr>
        <w:t>Neurochem</w:t>
      </w:r>
      <w:proofErr w:type="spellEnd"/>
      <w:r w:rsidRPr="00C80762">
        <w:rPr>
          <w:rFonts w:cs="Palatino Linotype"/>
          <w:color w:val="000000"/>
          <w:sz w:val="22"/>
          <w:szCs w:val="22"/>
        </w:rPr>
        <w:t xml:space="preserve"> Res. 2009 Jun;34(6):1047-56. </w:t>
      </w:r>
      <w:proofErr w:type="spellStart"/>
      <w:r w:rsidRPr="00C80762">
        <w:rPr>
          <w:rFonts w:cs="Palatino Linotype"/>
          <w:color w:val="000000"/>
          <w:sz w:val="22"/>
          <w:szCs w:val="22"/>
        </w:rPr>
        <w:t>Epub</w:t>
      </w:r>
      <w:proofErr w:type="spellEnd"/>
      <w:r w:rsidRPr="00C80762">
        <w:rPr>
          <w:rFonts w:cs="Palatino Linotype"/>
          <w:color w:val="000000"/>
          <w:sz w:val="22"/>
          <w:szCs w:val="22"/>
        </w:rPr>
        <w:t xml:space="preserve"> 2008 Nov 18. </w:t>
      </w:r>
    </w:p>
  </w:endnote>
  <w:endnote w:id="39">
    <w:p w14:paraId="58BB15DF" w14:textId="77777777" w:rsidR="004A70CE" w:rsidRPr="00C80762" w:rsidRDefault="004A70CE" w:rsidP="00834472">
      <w:pPr>
        <w:spacing w:after="0" w:line="240" w:lineRule="auto"/>
        <w:rPr>
          <w:sz w:val="22"/>
          <w:szCs w:val="22"/>
        </w:rPr>
      </w:pPr>
      <w:r w:rsidRPr="00C80762">
        <w:rPr>
          <w:rStyle w:val="EndnoteReference"/>
          <w:rFonts w:cs="Palatino Linotype"/>
          <w:sz w:val="22"/>
          <w:szCs w:val="22"/>
        </w:rPr>
        <w:endnoteRef/>
      </w:r>
      <w:r w:rsidRPr="00C80762">
        <w:rPr>
          <w:rFonts w:cs="Palatino Linotype"/>
          <w:sz w:val="22"/>
          <w:szCs w:val="22"/>
        </w:rPr>
        <w:t xml:space="preserve"> Rink C, Roy S, Khan M, Ananth P, Kuppusamy P, Sen CK, Khanna S. Oxygen-sensitive outcomes and gene expression in acute ischemic stroke. J </w:t>
      </w:r>
      <w:proofErr w:type="spellStart"/>
      <w:r w:rsidRPr="00C80762">
        <w:rPr>
          <w:rFonts w:cs="Palatino Linotype"/>
          <w:sz w:val="22"/>
          <w:szCs w:val="22"/>
        </w:rPr>
        <w:t>Cereb</w:t>
      </w:r>
      <w:proofErr w:type="spellEnd"/>
      <w:r w:rsidRPr="00C80762">
        <w:rPr>
          <w:rFonts w:cs="Palatino Linotype"/>
          <w:sz w:val="22"/>
          <w:szCs w:val="22"/>
        </w:rPr>
        <w:t xml:space="preserve"> Blood Flow </w:t>
      </w:r>
      <w:proofErr w:type="spellStart"/>
      <w:r w:rsidRPr="00C80762">
        <w:rPr>
          <w:rFonts w:cs="Palatino Linotype"/>
          <w:sz w:val="22"/>
          <w:szCs w:val="22"/>
        </w:rPr>
        <w:t>Metab</w:t>
      </w:r>
      <w:proofErr w:type="spellEnd"/>
      <w:r w:rsidRPr="00C80762">
        <w:rPr>
          <w:rFonts w:cs="Palatino Linotype"/>
          <w:sz w:val="22"/>
          <w:szCs w:val="22"/>
        </w:rPr>
        <w:t xml:space="preserve">. 2010 Feb 10. </w:t>
      </w:r>
    </w:p>
  </w:endnote>
  <w:endnote w:id="40">
    <w:p w14:paraId="1C42EC4C" w14:textId="77777777" w:rsidR="004A70CE" w:rsidRPr="00C80762" w:rsidRDefault="004A70CE" w:rsidP="00834472">
      <w:pPr>
        <w:spacing w:after="0" w:line="240" w:lineRule="auto"/>
        <w:rPr>
          <w:sz w:val="22"/>
          <w:szCs w:val="22"/>
        </w:rPr>
      </w:pPr>
      <w:r w:rsidRPr="00C80762">
        <w:rPr>
          <w:rStyle w:val="EndnoteReference"/>
          <w:rFonts w:cs="Palatino Linotype"/>
          <w:sz w:val="22"/>
          <w:szCs w:val="22"/>
        </w:rPr>
        <w:endnoteRef/>
      </w:r>
      <w:r w:rsidRPr="00C80762">
        <w:rPr>
          <w:rFonts w:cs="Palatino Linotype"/>
          <w:sz w:val="22"/>
          <w:szCs w:val="22"/>
        </w:rPr>
        <w:t xml:space="preserve"> Hai Y, Tian RL, Pan XW, Luan Z, Song LW. Effects of hyperbaric oxygen on brain </w:t>
      </w:r>
      <w:proofErr w:type="spellStart"/>
      <w:r w:rsidRPr="00C80762">
        <w:rPr>
          <w:rFonts w:cs="Palatino Linotype"/>
          <w:sz w:val="22"/>
          <w:szCs w:val="22"/>
        </w:rPr>
        <w:t>bfgf</w:t>
      </w:r>
      <w:proofErr w:type="spellEnd"/>
      <w:r w:rsidRPr="00C80762">
        <w:rPr>
          <w:rFonts w:cs="Palatino Linotype"/>
          <w:sz w:val="22"/>
          <w:szCs w:val="22"/>
        </w:rPr>
        <w:t xml:space="preserve"> and mRNA expression of neonatal rats after hypoxia-ischemia injury. Undersea Hyper Med 2001;28 Suppl:30. </w:t>
      </w:r>
    </w:p>
  </w:endnote>
  <w:endnote w:id="41">
    <w:p w14:paraId="4E6FE2BF" w14:textId="77777777" w:rsidR="004A70CE" w:rsidRPr="00C80762" w:rsidRDefault="004A70CE" w:rsidP="00834472">
      <w:pPr>
        <w:spacing w:after="0" w:line="240" w:lineRule="auto"/>
        <w:rPr>
          <w:sz w:val="22"/>
          <w:szCs w:val="22"/>
        </w:rPr>
      </w:pPr>
      <w:r w:rsidRPr="00C80762">
        <w:rPr>
          <w:rStyle w:val="EndnoteReference"/>
          <w:rFonts w:cs="Palatino Linotype"/>
          <w:sz w:val="22"/>
          <w:szCs w:val="22"/>
        </w:rPr>
        <w:endnoteRef/>
      </w:r>
      <w:r w:rsidRPr="00C80762">
        <w:rPr>
          <w:rFonts w:cs="Palatino Linotype"/>
          <w:sz w:val="22"/>
          <w:szCs w:val="22"/>
        </w:rPr>
        <w:t xml:space="preserve"> Bonomo SR, Davidson JD, Yu Y, et al. Hyperbaric oxygen as a signal transducer: upregulation of platelet derived growth factor-beta receptor in the presence of HBO2 and PDGF. Undersea </w:t>
      </w:r>
      <w:proofErr w:type="spellStart"/>
      <w:r w:rsidRPr="00C80762">
        <w:rPr>
          <w:rFonts w:cs="Palatino Linotype"/>
          <w:sz w:val="22"/>
          <w:szCs w:val="22"/>
        </w:rPr>
        <w:t>Hyperb</w:t>
      </w:r>
      <w:proofErr w:type="spellEnd"/>
      <w:r w:rsidRPr="00C80762">
        <w:rPr>
          <w:rFonts w:cs="Palatino Linotype"/>
          <w:sz w:val="22"/>
          <w:szCs w:val="22"/>
        </w:rPr>
        <w:t xml:space="preserve"> Med, 1998;25(4):211-6. </w:t>
      </w:r>
    </w:p>
  </w:endnote>
  <w:endnote w:id="42">
    <w:p w14:paraId="0B6D9610" w14:textId="7A650BDB"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André-</w:t>
      </w:r>
      <w:proofErr w:type="spellStart"/>
      <w:r w:rsidRPr="00C80762">
        <w:rPr>
          <w:rFonts w:ascii="Palatino Linotype" w:hAnsi="Palatino Linotype"/>
          <w:sz w:val="22"/>
          <w:szCs w:val="22"/>
        </w:rPr>
        <w:t>Lévigne</w:t>
      </w:r>
      <w:proofErr w:type="spellEnd"/>
      <w:r w:rsidRPr="00C80762">
        <w:rPr>
          <w:rFonts w:ascii="Palatino Linotype" w:hAnsi="Palatino Linotype"/>
          <w:sz w:val="22"/>
          <w:szCs w:val="22"/>
        </w:rPr>
        <w:t xml:space="preserve"> D, </w:t>
      </w:r>
      <w:proofErr w:type="spellStart"/>
      <w:r w:rsidRPr="00C80762">
        <w:rPr>
          <w:rFonts w:ascii="Palatino Linotype" w:hAnsi="Palatino Linotype"/>
          <w:sz w:val="22"/>
          <w:szCs w:val="22"/>
        </w:rPr>
        <w:t>Pignel</w:t>
      </w:r>
      <w:proofErr w:type="spellEnd"/>
      <w:r w:rsidRPr="00C80762">
        <w:rPr>
          <w:rFonts w:ascii="Palatino Linotype" w:hAnsi="Palatino Linotype"/>
          <w:sz w:val="22"/>
          <w:szCs w:val="22"/>
        </w:rPr>
        <w:t xml:space="preserve"> R, Boet S, Jaquet V, </w:t>
      </w:r>
      <w:proofErr w:type="spellStart"/>
      <w:r w:rsidRPr="00C80762">
        <w:rPr>
          <w:rFonts w:ascii="Palatino Linotype" w:hAnsi="Palatino Linotype"/>
          <w:sz w:val="22"/>
          <w:szCs w:val="22"/>
        </w:rPr>
        <w:t>Kalbermatten</w:t>
      </w:r>
      <w:proofErr w:type="spellEnd"/>
      <w:r w:rsidRPr="00C80762">
        <w:rPr>
          <w:rFonts w:ascii="Palatino Linotype" w:hAnsi="Palatino Linotype"/>
          <w:sz w:val="22"/>
          <w:szCs w:val="22"/>
        </w:rPr>
        <w:t xml:space="preserve"> DF, Madduri S. Role of Oxygen and Its Radicals in Peripheral Nerve Regeneration: From Hypoxia to </w:t>
      </w:r>
      <w:proofErr w:type="spellStart"/>
      <w:r w:rsidRPr="00C80762">
        <w:rPr>
          <w:rFonts w:ascii="Palatino Linotype" w:hAnsi="Palatino Linotype"/>
          <w:sz w:val="22"/>
          <w:szCs w:val="22"/>
        </w:rPr>
        <w:t>Physoxia</w:t>
      </w:r>
      <w:proofErr w:type="spellEnd"/>
      <w:r w:rsidRPr="00C80762">
        <w:rPr>
          <w:rFonts w:ascii="Palatino Linotype" w:hAnsi="Palatino Linotype"/>
          <w:sz w:val="22"/>
          <w:szCs w:val="22"/>
        </w:rPr>
        <w:t xml:space="preserve"> to Hyperoxia. Int J Mol Sci. 2024 Feb 7;25(4):2030. </w:t>
      </w:r>
    </w:p>
  </w:endnote>
  <w:endnote w:id="43">
    <w:p w14:paraId="7EB60C2B" w14:textId="40108828"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Fukui, K. Reactive oxygen species induce neurite degeneration before induction of cell death. J. Clin. </w:t>
      </w:r>
      <w:proofErr w:type="spellStart"/>
      <w:r w:rsidRPr="00C80762">
        <w:rPr>
          <w:rFonts w:ascii="Palatino Linotype" w:hAnsi="Palatino Linotype"/>
          <w:sz w:val="22"/>
          <w:szCs w:val="22"/>
        </w:rPr>
        <w:t>Biochem</w:t>
      </w:r>
      <w:proofErr w:type="spellEnd"/>
      <w:r w:rsidRPr="00C80762">
        <w:rPr>
          <w:rFonts w:ascii="Palatino Linotype" w:hAnsi="Palatino Linotype"/>
          <w:sz w:val="22"/>
          <w:szCs w:val="22"/>
        </w:rPr>
        <w:t xml:space="preserve">. </w:t>
      </w:r>
      <w:proofErr w:type="spellStart"/>
      <w:r w:rsidRPr="00C80762">
        <w:rPr>
          <w:rFonts w:ascii="Palatino Linotype" w:hAnsi="Palatino Linotype"/>
          <w:sz w:val="22"/>
          <w:szCs w:val="22"/>
        </w:rPr>
        <w:t>Nutr</w:t>
      </w:r>
      <w:proofErr w:type="spellEnd"/>
      <w:r w:rsidRPr="00C80762">
        <w:rPr>
          <w:rFonts w:ascii="Palatino Linotype" w:hAnsi="Palatino Linotype"/>
          <w:sz w:val="22"/>
          <w:szCs w:val="22"/>
        </w:rPr>
        <w:t xml:space="preserve">. 2016, 59, 155–159. </w:t>
      </w:r>
    </w:p>
  </w:endnote>
  <w:endnote w:id="44">
    <w:p w14:paraId="207FB28D" w14:textId="214AC245"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Boussi-Gross R, Golan H, </w:t>
      </w:r>
      <w:proofErr w:type="spellStart"/>
      <w:r w:rsidRPr="00C80762">
        <w:rPr>
          <w:rFonts w:ascii="Palatino Linotype" w:hAnsi="Palatino Linotype"/>
          <w:sz w:val="22"/>
          <w:szCs w:val="22"/>
        </w:rPr>
        <w:t>Fishlev</w:t>
      </w:r>
      <w:proofErr w:type="spellEnd"/>
      <w:r w:rsidRPr="00C80762">
        <w:rPr>
          <w:rFonts w:ascii="Palatino Linotype" w:hAnsi="Palatino Linotype"/>
          <w:sz w:val="22"/>
          <w:szCs w:val="22"/>
        </w:rPr>
        <w:t xml:space="preserve"> G, </w:t>
      </w:r>
      <w:proofErr w:type="spellStart"/>
      <w:r w:rsidRPr="00C80762">
        <w:rPr>
          <w:rFonts w:ascii="Palatino Linotype" w:hAnsi="Palatino Linotype"/>
          <w:sz w:val="22"/>
          <w:szCs w:val="22"/>
        </w:rPr>
        <w:t>Bechor</w:t>
      </w:r>
      <w:proofErr w:type="spellEnd"/>
      <w:r w:rsidRPr="00C80762">
        <w:rPr>
          <w:rFonts w:ascii="Palatino Linotype" w:hAnsi="Palatino Linotype"/>
          <w:sz w:val="22"/>
          <w:szCs w:val="22"/>
        </w:rPr>
        <w:t xml:space="preserve"> Y, Volkov O, </w:t>
      </w:r>
      <w:proofErr w:type="spellStart"/>
      <w:r w:rsidRPr="00C80762">
        <w:rPr>
          <w:rFonts w:ascii="Palatino Linotype" w:hAnsi="Palatino Linotype"/>
          <w:sz w:val="22"/>
          <w:szCs w:val="22"/>
        </w:rPr>
        <w:t>etal</w:t>
      </w:r>
      <w:proofErr w:type="spellEnd"/>
      <w:r w:rsidRPr="00C80762">
        <w:rPr>
          <w:rFonts w:ascii="Palatino Linotype" w:hAnsi="Palatino Linotype"/>
          <w:sz w:val="22"/>
          <w:szCs w:val="22"/>
        </w:rPr>
        <w:t xml:space="preserve">. (2013) Hyperbaric Oxygen Therapy </w:t>
      </w:r>
      <w:proofErr w:type="spellStart"/>
      <w:r w:rsidRPr="00C80762">
        <w:rPr>
          <w:rFonts w:ascii="Palatino Linotype" w:hAnsi="Palatino Linotype"/>
          <w:sz w:val="22"/>
          <w:szCs w:val="22"/>
        </w:rPr>
        <w:t>CanImprove</w:t>
      </w:r>
      <w:proofErr w:type="spellEnd"/>
      <w:r w:rsidRPr="00C80762">
        <w:rPr>
          <w:rFonts w:ascii="Palatino Linotype" w:hAnsi="Palatino Linotype"/>
          <w:sz w:val="22"/>
          <w:szCs w:val="22"/>
        </w:rPr>
        <w:t xml:space="preserve"> Post Concussion Syndrome Years after Mild Traumatic Brain Injury-Randomized Prospective Trial. PLoSONE8 (11</w:t>
      </w:r>
      <w:proofErr w:type="gramStart"/>
      <w:r w:rsidRPr="00C80762">
        <w:rPr>
          <w:rFonts w:ascii="Palatino Linotype" w:hAnsi="Palatino Linotype"/>
          <w:sz w:val="22"/>
          <w:szCs w:val="22"/>
        </w:rPr>
        <w:t>):e</w:t>
      </w:r>
      <w:proofErr w:type="gramEnd"/>
      <w:r w:rsidRPr="00C80762">
        <w:rPr>
          <w:rFonts w:ascii="Palatino Linotype" w:hAnsi="Palatino Linotype"/>
          <w:sz w:val="22"/>
          <w:szCs w:val="22"/>
        </w:rPr>
        <w:t>79995.</w:t>
      </w:r>
    </w:p>
  </w:endnote>
  <w:endnote w:id="45">
    <w:p w14:paraId="666CEF48" w14:textId="5B4ABBC3"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cs="Segoe UI"/>
          <w:color w:val="212121"/>
          <w:sz w:val="22"/>
          <w:szCs w:val="22"/>
          <w:shd w:val="clear" w:color="auto" w:fill="FFFFFF"/>
        </w:rPr>
        <w:t>Zrzavy</w:t>
      </w:r>
      <w:proofErr w:type="spellEnd"/>
      <w:r w:rsidRPr="00C80762">
        <w:rPr>
          <w:rFonts w:ascii="Palatino Linotype" w:hAnsi="Palatino Linotype" w:cs="Segoe UI"/>
          <w:color w:val="212121"/>
          <w:sz w:val="22"/>
          <w:szCs w:val="22"/>
          <w:shd w:val="clear" w:color="auto" w:fill="FFFFFF"/>
        </w:rPr>
        <w:t xml:space="preserve"> T, Schwaiger C, Wimmer I, Berger T, Bauer J, </w:t>
      </w:r>
      <w:proofErr w:type="spellStart"/>
      <w:r w:rsidRPr="00C80762">
        <w:rPr>
          <w:rFonts w:ascii="Palatino Linotype" w:hAnsi="Palatino Linotype" w:cs="Segoe UI"/>
          <w:color w:val="212121"/>
          <w:sz w:val="22"/>
          <w:szCs w:val="22"/>
          <w:shd w:val="clear" w:color="auto" w:fill="FFFFFF"/>
        </w:rPr>
        <w:t>Butovsky</w:t>
      </w:r>
      <w:proofErr w:type="spellEnd"/>
      <w:r w:rsidRPr="00C80762">
        <w:rPr>
          <w:rFonts w:ascii="Palatino Linotype" w:hAnsi="Palatino Linotype" w:cs="Segoe UI"/>
          <w:color w:val="212121"/>
          <w:sz w:val="22"/>
          <w:szCs w:val="22"/>
          <w:shd w:val="clear" w:color="auto" w:fill="FFFFFF"/>
        </w:rPr>
        <w:t xml:space="preserve"> O, Schwab JM, </w:t>
      </w:r>
      <w:proofErr w:type="spellStart"/>
      <w:r w:rsidRPr="00C80762">
        <w:rPr>
          <w:rFonts w:ascii="Palatino Linotype" w:hAnsi="Palatino Linotype" w:cs="Segoe UI"/>
          <w:color w:val="212121"/>
          <w:sz w:val="22"/>
          <w:szCs w:val="22"/>
          <w:shd w:val="clear" w:color="auto" w:fill="FFFFFF"/>
        </w:rPr>
        <w:t>Lassmann</w:t>
      </w:r>
      <w:proofErr w:type="spellEnd"/>
      <w:r w:rsidRPr="00C80762">
        <w:rPr>
          <w:rFonts w:ascii="Palatino Linotype" w:hAnsi="Palatino Linotype" w:cs="Segoe UI"/>
          <w:color w:val="212121"/>
          <w:sz w:val="22"/>
          <w:szCs w:val="22"/>
          <w:shd w:val="clear" w:color="auto" w:fill="FFFFFF"/>
        </w:rPr>
        <w:t xml:space="preserve"> H, </w:t>
      </w:r>
      <w:proofErr w:type="spellStart"/>
      <w:r w:rsidRPr="00C80762">
        <w:rPr>
          <w:rFonts w:ascii="Palatino Linotype" w:hAnsi="Palatino Linotype" w:cs="Segoe UI"/>
          <w:color w:val="212121"/>
          <w:sz w:val="22"/>
          <w:szCs w:val="22"/>
          <w:shd w:val="clear" w:color="auto" w:fill="FFFFFF"/>
        </w:rPr>
        <w:t>Höftberger</w:t>
      </w:r>
      <w:proofErr w:type="spellEnd"/>
      <w:r w:rsidRPr="00C80762">
        <w:rPr>
          <w:rFonts w:ascii="Palatino Linotype" w:hAnsi="Palatino Linotype" w:cs="Segoe UI"/>
          <w:color w:val="212121"/>
          <w:sz w:val="22"/>
          <w:szCs w:val="22"/>
          <w:shd w:val="clear" w:color="auto" w:fill="FFFFFF"/>
        </w:rPr>
        <w:t xml:space="preserve"> R. Acute and non-resolving inflammation associate with oxidative injury after human spinal cord injury. Brain. 2021 Feb 12;144(1):144-161. </w:t>
      </w:r>
    </w:p>
  </w:endnote>
  <w:endnote w:id="46">
    <w:p w14:paraId="2FFBB39A" w14:textId="64BAEC52"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r w:rsidRPr="00C80762">
        <w:rPr>
          <w:rFonts w:ascii="Palatino Linotype" w:hAnsi="Palatino Linotype" w:cs="Segoe UI"/>
          <w:color w:val="212121"/>
          <w:sz w:val="22"/>
          <w:szCs w:val="22"/>
          <w:shd w:val="clear" w:color="auto" w:fill="FFFFFF"/>
        </w:rPr>
        <w:t xml:space="preserve">Gris D, Marsh DR, Oatway MA, Chen Y, Hamilton EF, </w:t>
      </w:r>
      <w:proofErr w:type="spellStart"/>
      <w:r w:rsidRPr="00C80762">
        <w:rPr>
          <w:rFonts w:ascii="Palatino Linotype" w:hAnsi="Palatino Linotype" w:cs="Segoe UI"/>
          <w:color w:val="212121"/>
          <w:sz w:val="22"/>
          <w:szCs w:val="22"/>
          <w:shd w:val="clear" w:color="auto" w:fill="FFFFFF"/>
        </w:rPr>
        <w:t>Dekaban</w:t>
      </w:r>
      <w:proofErr w:type="spellEnd"/>
      <w:r w:rsidRPr="00C80762">
        <w:rPr>
          <w:rFonts w:ascii="Palatino Linotype" w:hAnsi="Palatino Linotype" w:cs="Segoe UI"/>
          <w:color w:val="212121"/>
          <w:sz w:val="22"/>
          <w:szCs w:val="22"/>
          <w:shd w:val="clear" w:color="auto" w:fill="FFFFFF"/>
        </w:rPr>
        <w:t xml:space="preserve"> GA, Weaver LC. Transient blockade of the CD11d/CD18 integrin reduces secondary damage after spinal cord injury, improving sensory, autonomic, and motor function. J </w:t>
      </w:r>
      <w:proofErr w:type="spellStart"/>
      <w:r w:rsidRPr="00C80762">
        <w:rPr>
          <w:rFonts w:ascii="Palatino Linotype" w:hAnsi="Palatino Linotype" w:cs="Segoe UI"/>
          <w:color w:val="212121"/>
          <w:sz w:val="22"/>
          <w:szCs w:val="22"/>
          <w:shd w:val="clear" w:color="auto" w:fill="FFFFFF"/>
        </w:rPr>
        <w:t>Neurosci</w:t>
      </w:r>
      <w:proofErr w:type="spellEnd"/>
      <w:r w:rsidRPr="00C80762">
        <w:rPr>
          <w:rFonts w:ascii="Palatino Linotype" w:hAnsi="Palatino Linotype" w:cs="Segoe UI"/>
          <w:color w:val="212121"/>
          <w:sz w:val="22"/>
          <w:szCs w:val="22"/>
          <w:shd w:val="clear" w:color="auto" w:fill="FFFFFF"/>
        </w:rPr>
        <w:t>. 2004 Apr 21;24(16):4043-51.</w:t>
      </w:r>
    </w:p>
  </w:endnote>
  <w:endnote w:id="47">
    <w:p w14:paraId="355A89A3" w14:textId="77777777" w:rsidR="004A70CE" w:rsidRPr="00C80762" w:rsidRDefault="004A70CE" w:rsidP="00834472">
      <w:pPr>
        <w:spacing w:after="0" w:line="240" w:lineRule="auto"/>
        <w:rPr>
          <w:sz w:val="22"/>
          <w:szCs w:val="22"/>
        </w:rPr>
      </w:pPr>
      <w:r w:rsidRPr="00C80762">
        <w:rPr>
          <w:rStyle w:val="EndnoteReference"/>
          <w:rFonts w:cs="Palatino Linotype"/>
          <w:sz w:val="22"/>
          <w:szCs w:val="22"/>
        </w:rPr>
        <w:endnoteRef/>
      </w:r>
      <w:r w:rsidRPr="00C80762">
        <w:rPr>
          <w:rFonts w:cs="Palatino Linotype"/>
          <w:sz w:val="22"/>
          <w:szCs w:val="22"/>
        </w:rPr>
        <w:t xml:space="preserve"> Matchett GA, Martin RD, Zhang JH. Hyperbaric oxygen therapy and cerebral ischemia: neuroprotective mechanisms. Neurol Res. 2009 Mar;31(2):114-21. </w:t>
      </w:r>
    </w:p>
  </w:endnote>
  <w:endnote w:id="48">
    <w:p w14:paraId="6D5EFA4B" w14:textId="77777777" w:rsidR="004A70CE" w:rsidRPr="00C80762" w:rsidRDefault="004A70CE" w:rsidP="00834472">
      <w:pPr>
        <w:spacing w:after="0" w:line="240" w:lineRule="auto"/>
        <w:rPr>
          <w:sz w:val="22"/>
          <w:szCs w:val="22"/>
        </w:rPr>
      </w:pPr>
      <w:r w:rsidRPr="00C80762">
        <w:rPr>
          <w:rStyle w:val="EndnoteReference"/>
          <w:sz w:val="22"/>
          <w:szCs w:val="22"/>
        </w:rPr>
        <w:endnoteRef/>
      </w:r>
      <w:r w:rsidRPr="00C80762">
        <w:rPr>
          <w:rFonts w:cs="Palatino Linotype"/>
          <w:color w:val="000000"/>
          <w:sz w:val="22"/>
          <w:szCs w:val="22"/>
        </w:rPr>
        <w:t xml:space="preserve"> Hai Y, Tian RL, Pan XW, Luan Z, Song LW. Effects of hyperbaric oxygen on brain </w:t>
      </w:r>
      <w:proofErr w:type="spellStart"/>
      <w:r w:rsidRPr="00C80762">
        <w:rPr>
          <w:rFonts w:cs="Palatino Linotype"/>
          <w:color w:val="000000"/>
          <w:sz w:val="22"/>
          <w:szCs w:val="22"/>
        </w:rPr>
        <w:t>bfgf</w:t>
      </w:r>
      <w:proofErr w:type="spellEnd"/>
      <w:r w:rsidRPr="00C80762">
        <w:rPr>
          <w:rFonts w:cs="Palatino Linotype"/>
          <w:color w:val="000000"/>
          <w:sz w:val="22"/>
          <w:szCs w:val="22"/>
        </w:rPr>
        <w:t xml:space="preserve"> and mRNA expression of neonatal rats after hypoxia-ischemia injury. Undersea Hyper Med 2001;28 Suppl:30.</w:t>
      </w:r>
    </w:p>
  </w:endnote>
  <w:endnote w:id="49">
    <w:p w14:paraId="6FB50568" w14:textId="77777777" w:rsidR="004A70CE" w:rsidRPr="00C80762" w:rsidRDefault="004A70CE" w:rsidP="00834472">
      <w:pPr>
        <w:spacing w:after="0" w:line="240" w:lineRule="auto"/>
        <w:rPr>
          <w:sz w:val="22"/>
          <w:szCs w:val="22"/>
        </w:rPr>
      </w:pPr>
      <w:r w:rsidRPr="00C80762">
        <w:rPr>
          <w:rStyle w:val="EndnoteReference"/>
          <w:sz w:val="22"/>
          <w:szCs w:val="22"/>
        </w:rPr>
        <w:endnoteRef/>
      </w:r>
      <w:r w:rsidRPr="00C80762">
        <w:rPr>
          <w:sz w:val="22"/>
          <w:szCs w:val="22"/>
        </w:rPr>
        <w:t xml:space="preserve"> </w:t>
      </w:r>
      <w:r w:rsidRPr="00C80762">
        <w:rPr>
          <w:rFonts w:cs="Palatino Linotype"/>
          <w:sz w:val="22"/>
          <w:szCs w:val="22"/>
        </w:rPr>
        <w:t xml:space="preserve">Bonomo SR, Davidson JD, Yu Y, et al. Hyperbaric oxygen as a signal transducer: upregulation of platelet derived growth factor-beta receptor in the presence of HBO2 and PDGF. Undersea </w:t>
      </w:r>
      <w:proofErr w:type="spellStart"/>
      <w:r w:rsidRPr="00C80762">
        <w:rPr>
          <w:rFonts w:cs="Palatino Linotype"/>
          <w:sz w:val="22"/>
          <w:szCs w:val="22"/>
        </w:rPr>
        <w:t>Hyperb</w:t>
      </w:r>
      <w:proofErr w:type="spellEnd"/>
      <w:r w:rsidRPr="00C80762">
        <w:rPr>
          <w:rFonts w:cs="Palatino Linotype"/>
          <w:sz w:val="22"/>
          <w:szCs w:val="22"/>
        </w:rPr>
        <w:t xml:space="preserve"> Med, 1998;25(4):211-6. </w:t>
      </w:r>
    </w:p>
  </w:endnote>
  <w:endnote w:id="50">
    <w:p w14:paraId="0E9D51DB" w14:textId="77777777" w:rsidR="004A70CE" w:rsidRPr="00C80762" w:rsidRDefault="004A70CE" w:rsidP="00834472">
      <w:pPr>
        <w:spacing w:after="0" w:line="240" w:lineRule="auto"/>
        <w:rPr>
          <w:sz w:val="22"/>
          <w:szCs w:val="22"/>
        </w:rPr>
      </w:pPr>
      <w:r w:rsidRPr="00C80762">
        <w:rPr>
          <w:rStyle w:val="EndnoteReference"/>
          <w:rFonts w:cs="Palatino Linotype"/>
          <w:sz w:val="22"/>
          <w:szCs w:val="22"/>
        </w:rPr>
        <w:endnoteRef/>
      </w:r>
      <w:r w:rsidRPr="00C80762">
        <w:rPr>
          <w:rFonts w:cs="Palatino Linotype"/>
          <w:sz w:val="22"/>
          <w:szCs w:val="22"/>
        </w:rPr>
        <w:t xml:space="preserve"> </w:t>
      </w:r>
      <w:proofErr w:type="spellStart"/>
      <w:r w:rsidRPr="00C80762">
        <w:rPr>
          <w:rFonts w:cs="Palatino Linotype"/>
          <w:sz w:val="22"/>
          <w:szCs w:val="22"/>
        </w:rPr>
        <w:t>Rockswold</w:t>
      </w:r>
      <w:proofErr w:type="spellEnd"/>
      <w:r w:rsidRPr="00C80762">
        <w:rPr>
          <w:rFonts w:cs="Palatino Linotype"/>
          <w:sz w:val="22"/>
          <w:szCs w:val="22"/>
        </w:rPr>
        <w:t xml:space="preserve"> SB, </w:t>
      </w:r>
      <w:proofErr w:type="spellStart"/>
      <w:r w:rsidRPr="00C80762">
        <w:rPr>
          <w:rFonts w:cs="Palatino Linotype"/>
          <w:sz w:val="22"/>
          <w:szCs w:val="22"/>
        </w:rPr>
        <w:t>Rockswold</w:t>
      </w:r>
      <w:proofErr w:type="spellEnd"/>
      <w:r w:rsidRPr="00C80762">
        <w:rPr>
          <w:rFonts w:cs="Palatino Linotype"/>
          <w:sz w:val="22"/>
          <w:szCs w:val="22"/>
        </w:rPr>
        <w:t xml:space="preserve"> GL, </w:t>
      </w:r>
      <w:proofErr w:type="spellStart"/>
      <w:r w:rsidRPr="00C80762">
        <w:rPr>
          <w:rFonts w:cs="Palatino Linotype"/>
          <w:sz w:val="22"/>
          <w:szCs w:val="22"/>
        </w:rPr>
        <w:t>Defillo</w:t>
      </w:r>
      <w:proofErr w:type="spellEnd"/>
      <w:r w:rsidRPr="00C80762">
        <w:rPr>
          <w:rFonts w:cs="Palatino Linotype"/>
          <w:sz w:val="22"/>
          <w:szCs w:val="22"/>
        </w:rPr>
        <w:t xml:space="preserve"> A. Hyperbaric oxygen in traumatic brain injury. Neurol Res. 2007 Mar;29(2):162-72.</w:t>
      </w:r>
    </w:p>
  </w:endnote>
  <w:endnote w:id="51">
    <w:p w14:paraId="445A07C3"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cs="Palatino Linotype"/>
          <w:sz w:val="22"/>
          <w:szCs w:val="22"/>
        </w:rPr>
        <w:endnoteRef/>
      </w:r>
      <w:r w:rsidRPr="00C80762">
        <w:rPr>
          <w:rFonts w:ascii="Palatino Linotype" w:hAnsi="Palatino Linotype" w:cs="Palatino Linotype"/>
          <w:sz w:val="22"/>
          <w:szCs w:val="22"/>
        </w:rPr>
        <w:t xml:space="preserve"> </w:t>
      </w:r>
      <w:proofErr w:type="spellStart"/>
      <w:r w:rsidRPr="00C80762">
        <w:rPr>
          <w:rFonts w:ascii="Palatino Linotype" w:hAnsi="Palatino Linotype" w:cs="Palatino Linotype"/>
          <w:sz w:val="22"/>
          <w:szCs w:val="22"/>
        </w:rPr>
        <w:t>Palzur</w:t>
      </w:r>
      <w:proofErr w:type="spellEnd"/>
      <w:r w:rsidRPr="00C80762">
        <w:rPr>
          <w:rFonts w:ascii="Palatino Linotype" w:hAnsi="Palatino Linotype" w:cs="Palatino Linotype"/>
          <w:sz w:val="22"/>
          <w:szCs w:val="22"/>
        </w:rPr>
        <w:t xml:space="preserve"> E, </w:t>
      </w:r>
      <w:proofErr w:type="spellStart"/>
      <w:r w:rsidRPr="00C80762">
        <w:rPr>
          <w:rFonts w:ascii="Palatino Linotype" w:hAnsi="Palatino Linotype" w:cs="Palatino Linotype"/>
          <w:sz w:val="22"/>
          <w:szCs w:val="22"/>
        </w:rPr>
        <w:t>Zaaroor</w:t>
      </w:r>
      <w:proofErr w:type="spellEnd"/>
      <w:r w:rsidRPr="00C80762">
        <w:rPr>
          <w:rFonts w:ascii="Palatino Linotype" w:hAnsi="Palatino Linotype" w:cs="Palatino Linotype"/>
          <w:sz w:val="22"/>
          <w:szCs w:val="22"/>
        </w:rPr>
        <w:t xml:space="preserve"> M, </w:t>
      </w:r>
      <w:proofErr w:type="spellStart"/>
      <w:r w:rsidRPr="00C80762">
        <w:rPr>
          <w:rFonts w:ascii="Palatino Linotype" w:hAnsi="Palatino Linotype" w:cs="Palatino Linotype"/>
          <w:sz w:val="22"/>
          <w:szCs w:val="22"/>
        </w:rPr>
        <w:t>Vlodavsky</w:t>
      </w:r>
      <w:proofErr w:type="spellEnd"/>
      <w:r w:rsidRPr="00C80762">
        <w:rPr>
          <w:rFonts w:ascii="Palatino Linotype" w:hAnsi="Palatino Linotype" w:cs="Palatino Linotype"/>
          <w:sz w:val="22"/>
          <w:szCs w:val="22"/>
        </w:rPr>
        <w:t xml:space="preserve"> E, Milman F, </w:t>
      </w:r>
      <w:proofErr w:type="spellStart"/>
      <w:r w:rsidRPr="00C80762">
        <w:rPr>
          <w:rFonts w:ascii="Palatino Linotype" w:hAnsi="Palatino Linotype" w:cs="Palatino Linotype"/>
          <w:sz w:val="22"/>
          <w:szCs w:val="22"/>
        </w:rPr>
        <w:t>Soustiel</w:t>
      </w:r>
      <w:proofErr w:type="spellEnd"/>
      <w:r w:rsidRPr="00C80762">
        <w:rPr>
          <w:rFonts w:ascii="Palatino Linotype" w:hAnsi="Palatino Linotype" w:cs="Palatino Linotype"/>
          <w:sz w:val="22"/>
          <w:szCs w:val="22"/>
        </w:rPr>
        <w:t xml:space="preserve"> JF. Neuroprotective effect of hyperbaric oxygen therapy in brain injury is mediated by preservation of mitochondrial membrane properties. Brain Res. 2008 Jul </w:t>
      </w:r>
      <w:proofErr w:type="gramStart"/>
      <w:r w:rsidRPr="00C80762">
        <w:rPr>
          <w:rFonts w:ascii="Palatino Linotype" w:hAnsi="Palatino Linotype" w:cs="Palatino Linotype"/>
          <w:sz w:val="22"/>
          <w:szCs w:val="22"/>
        </w:rPr>
        <w:t>24;1221:126</w:t>
      </w:r>
      <w:proofErr w:type="gramEnd"/>
      <w:r w:rsidRPr="00C80762">
        <w:rPr>
          <w:rFonts w:ascii="Palatino Linotype" w:hAnsi="Palatino Linotype" w:cs="Palatino Linotype"/>
          <w:sz w:val="22"/>
          <w:szCs w:val="22"/>
        </w:rPr>
        <w:t xml:space="preserve">-33. </w:t>
      </w:r>
      <w:proofErr w:type="spellStart"/>
      <w:r w:rsidRPr="00C80762">
        <w:rPr>
          <w:rFonts w:ascii="Palatino Linotype" w:hAnsi="Palatino Linotype" w:cs="Palatino Linotype"/>
          <w:sz w:val="22"/>
          <w:szCs w:val="22"/>
        </w:rPr>
        <w:t>Epub</w:t>
      </w:r>
      <w:proofErr w:type="spellEnd"/>
      <w:r w:rsidRPr="00C80762">
        <w:rPr>
          <w:rFonts w:ascii="Palatino Linotype" w:hAnsi="Palatino Linotype" w:cs="Palatino Linotype"/>
          <w:sz w:val="22"/>
          <w:szCs w:val="22"/>
        </w:rPr>
        <w:t xml:space="preserve"> 2008 May 11.</w:t>
      </w:r>
    </w:p>
  </w:endnote>
  <w:endnote w:id="52">
    <w:p w14:paraId="4CE8AF70" w14:textId="77777777" w:rsidR="004A70CE" w:rsidRPr="00C80762" w:rsidRDefault="004A70CE" w:rsidP="00834472">
      <w:pPr>
        <w:spacing w:after="0" w:line="240" w:lineRule="auto"/>
        <w:rPr>
          <w:sz w:val="22"/>
          <w:szCs w:val="22"/>
        </w:rPr>
      </w:pPr>
      <w:r w:rsidRPr="00C80762">
        <w:rPr>
          <w:rStyle w:val="EndnoteReference"/>
          <w:rFonts w:cs="Palatino Linotype"/>
          <w:sz w:val="22"/>
          <w:szCs w:val="22"/>
        </w:rPr>
        <w:endnoteRef/>
      </w:r>
      <w:r w:rsidRPr="00C80762">
        <w:rPr>
          <w:rFonts w:cs="Palatino Linotype"/>
          <w:sz w:val="22"/>
          <w:szCs w:val="22"/>
        </w:rPr>
        <w:t xml:space="preserve"> Wang XL, Zhao YS, Yang YJ, Xie M, Yu XH. Therapeutic window of hyperbaric oxygen therapy for hypoxic-ischemic brain damage in newborn rats. Brain Res. 2008 Jul </w:t>
      </w:r>
      <w:proofErr w:type="gramStart"/>
      <w:r w:rsidRPr="00C80762">
        <w:rPr>
          <w:rFonts w:cs="Palatino Linotype"/>
          <w:sz w:val="22"/>
          <w:szCs w:val="22"/>
        </w:rPr>
        <w:t>30;1222:87</w:t>
      </w:r>
      <w:proofErr w:type="gramEnd"/>
      <w:r w:rsidRPr="00C80762">
        <w:rPr>
          <w:rFonts w:cs="Palatino Linotype"/>
          <w:sz w:val="22"/>
          <w:szCs w:val="22"/>
        </w:rPr>
        <w:t xml:space="preserve">-94. </w:t>
      </w:r>
      <w:proofErr w:type="spellStart"/>
      <w:r w:rsidRPr="00C80762">
        <w:rPr>
          <w:rFonts w:cs="Palatino Linotype"/>
          <w:sz w:val="22"/>
          <w:szCs w:val="22"/>
        </w:rPr>
        <w:t>Epub</w:t>
      </w:r>
      <w:proofErr w:type="spellEnd"/>
      <w:r w:rsidRPr="00C80762">
        <w:rPr>
          <w:rFonts w:cs="Palatino Linotype"/>
          <w:sz w:val="22"/>
          <w:szCs w:val="22"/>
        </w:rPr>
        <w:t xml:space="preserve"> 2008 May 18.</w:t>
      </w:r>
    </w:p>
  </w:endnote>
  <w:endnote w:id="53">
    <w:p w14:paraId="159F2F3C" w14:textId="77777777" w:rsidR="004A70CE" w:rsidRPr="00C80762" w:rsidRDefault="004A70CE" w:rsidP="00834472">
      <w:pPr>
        <w:pageBreakBefore/>
        <w:spacing w:after="0" w:line="240" w:lineRule="auto"/>
        <w:rPr>
          <w:sz w:val="22"/>
          <w:szCs w:val="22"/>
        </w:rPr>
      </w:pPr>
      <w:r w:rsidRPr="00C80762">
        <w:rPr>
          <w:rStyle w:val="EndnoteReference"/>
          <w:rFonts w:cs="Palatino Linotype"/>
          <w:sz w:val="22"/>
          <w:szCs w:val="22"/>
        </w:rPr>
        <w:endnoteRef/>
      </w:r>
      <w:r w:rsidRPr="00C80762">
        <w:rPr>
          <w:rFonts w:cs="Palatino Linotype"/>
          <w:sz w:val="22"/>
          <w:szCs w:val="22"/>
        </w:rPr>
        <w:t xml:space="preserve"> Yang YJ, Wang XL, Yu XH, Wang X, Xie M, Liu CT. Hyperbaric oxygen induces endogenous neural stem cells to proliferate and differentiate in hypoxic-ischemic brain damage in neonatal rats. Undersea </w:t>
      </w:r>
      <w:proofErr w:type="spellStart"/>
      <w:r w:rsidRPr="00C80762">
        <w:rPr>
          <w:rFonts w:cs="Palatino Linotype"/>
          <w:sz w:val="22"/>
          <w:szCs w:val="22"/>
        </w:rPr>
        <w:t>Hyperb</w:t>
      </w:r>
      <w:proofErr w:type="spellEnd"/>
      <w:r w:rsidRPr="00C80762">
        <w:rPr>
          <w:rFonts w:cs="Palatino Linotype"/>
          <w:sz w:val="22"/>
          <w:szCs w:val="22"/>
        </w:rPr>
        <w:t xml:space="preserve"> Med. 2008 Mar-Apr;35(2):113-29. </w:t>
      </w:r>
    </w:p>
  </w:endnote>
  <w:endnote w:id="54">
    <w:p w14:paraId="16E3D895" w14:textId="77777777" w:rsidR="004A70CE" w:rsidRPr="00C80762" w:rsidRDefault="004A70CE" w:rsidP="00834472">
      <w:pPr>
        <w:spacing w:after="0" w:line="240" w:lineRule="auto"/>
        <w:rPr>
          <w:sz w:val="22"/>
          <w:szCs w:val="22"/>
        </w:rPr>
      </w:pPr>
      <w:r w:rsidRPr="00C80762">
        <w:rPr>
          <w:rStyle w:val="EndnoteReference"/>
          <w:rFonts w:cs="Palatino Linotype"/>
          <w:sz w:val="22"/>
          <w:szCs w:val="22"/>
        </w:rPr>
        <w:endnoteRef/>
      </w:r>
      <w:r w:rsidRPr="00C80762">
        <w:rPr>
          <w:rFonts w:cs="Palatino Linotype"/>
          <w:color w:val="000000"/>
          <w:sz w:val="22"/>
          <w:szCs w:val="22"/>
        </w:rPr>
        <w:t xml:space="preserve"> Bai J, Luan Z, Zhou CL, Qu SQ, Jiang Y, Wang ZY. [Effect of hyperbaric oxygenation on the differentiation of implanted human neural stem cells into neurons in vivo] </w:t>
      </w:r>
      <w:proofErr w:type="spellStart"/>
      <w:r w:rsidRPr="00C80762">
        <w:rPr>
          <w:rFonts w:cs="Palatino Linotype"/>
          <w:color w:val="000000"/>
          <w:sz w:val="22"/>
          <w:szCs w:val="22"/>
        </w:rPr>
        <w:t>Zhongguo</w:t>
      </w:r>
      <w:proofErr w:type="spellEnd"/>
      <w:r w:rsidRPr="00C80762">
        <w:rPr>
          <w:rFonts w:cs="Palatino Linotype"/>
          <w:color w:val="000000"/>
          <w:sz w:val="22"/>
          <w:szCs w:val="22"/>
        </w:rPr>
        <w:t xml:space="preserve"> Dang Dai Er Ke Za Zhi. 2008 Apr;10(2):195-8. </w:t>
      </w:r>
    </w:p>
  </w:endnote>
  <w:endnote w:id="55">
    <w:p w14:paraId="3DF8800E" w14:textId="77777777" w:rsidR="004A70CE" w:rsidRPr="00C80762" w:rsidRDefault="004A70CE" w:rsidP="00834472">
      <w:pPr>
        <w:spacing w:after="0" w:line="240" w:lineRule="auto"/>
        <w:rPr>
          <w:sz w:val="22"/>
          <w:szCs w:val="22"/>
        </w:rPr>
      </w:pPr>
      <w:r w:rsidRPr="00C80762">
        <w:rPr>
          <w:rStyle w:val="EndnoteReference"/>
          <w:rFonts w:cs="Palatino Linotype"/>
          <w:sz w:val="22"/>
          <w:szCs w:val="22"/>
        </w:rPr>
        <w:endnoteRef/>
      </w:r>
      <w:r w:rsidRPr="00C80762">
        <w:rPr>
          <w:rFonts w:cs="Palatino Linotype"/>
          <w:sz w:val="22"/>
          <w:szCs w:val="22"/>
        </w:rPr>
        <w:t xml:space="preserve"> Wang XL, Yang YJ, Xie M, Yu XH, Liu CT, Wang X. Proliferation of neural stem cells correlates with Wnt-3 protein in hypoxic-ischemic neonate rats after hyperbaric oxygen therapy. </w:t>
      </w:r>
      <w:proofErr w:type="spellStart"/>
      <w:r w:rsidRPr="00C80762">
        <w:rPr>
          <w:rFonts w:cs="Palatino Linotype"/>
          <w:sz w:val="22"/>
          <w:szCs w:val="22"/>
        </w:rPr>
        <w:t>Neuroreport</w:t>
      </w:r>
      <w:proofErr w:type="spellEnd"/>
      <w:r w:rsidRPr="00C80762">
        <w:rPr>
          <w:rFonts w:cs="Palatino Linotype"/>
          <w:sz w:val="22"/>
          <w:szCs w:val="22"/>
        </w:rPr>
        <w:t xml:space="preserve">. 2007 Oct 29;18(16):1753-6. </w:t>
      </w:r>
    </w:p>
  </w:endnote>
  <w:endnote w:id="56">
    <w:p w14:paraId="01556E35" w14:textId="77777777" w:rsidR="004A70CE" w:rsidRPr="00C80762" w:rsidRDefault="004A70CE" w:rsidP="00834472">
      <w:pPr>
        <w:spacing w:after="0" w:line="240" w:lineRule="auto"/>
        <w:rPr>
          <w:sz w:val="22"/>
          <w:szCs w:val="22"/>
        </w:rPr>
      </w:pPr>
      <w:r w:rsidRPr="00C80762">
        <w:rPr>
          <w:rStyle w:val="EndnoteReference"/>
          <w:rFonts w:cs="Palatino Linotype"/>
          <w:sz w:val="22"/>
          <w:szCs w:val="22"/>
        </w:rPr>
        <w:endnoteRef/>
      </w:r>
      <w:r w:rsidRPr="00C80762">
        <w:rPr>
          <w:rFonts w:cs="Palatino Linotype"/>
          <w:sz w:val="22"/>
          <w:szCs w:val="22"/>
        </w:rPr>
        <w:t xml:space="preserve"> Wang XL, Zhao YS, Yang YJ, Xie M, Yu XH. Therapeutic window of hyperbaric oxygen therapy for hypoxic-ischemic brain damage in newborn rats. Brain Res. 2008 Jul </w:t>
      </w:r>
      <w:proofErr w:type="gramStart"/>
      <w:r w:rsidRPr="00C80762">
        <w:rPr>
          <w:rFonts w:cs="Palatino Linotype"/>
          <w:sz w:val="22"/>
          <w:szCs w:val="22"/>
        </w:rPr>
        <w:t>30;1222:87</w:t>
      </w:r>
      <w:proofErr w:type="gramEnd"/>
      <w:r w:rsidRPr="00C80762">
        <w:rPr>
          <w:rFonts w:cs="Palatino Linotype"/>
          <w:sz w:val="22"/>
          <w:szCs w:val="22"/>
        </w:rPr>
        <w:t xml:space="preserve">-94. </w:t>
      </w:r>
      <w:proofErr w:type="spellStart"/>
      <w:r w:rsidRPr="00C80762">
        <w:rPr>
          <w:rFonts w:cs="Palatino Linotype"/>
          <w:sz w:val="22"/>
          <w:szCs w:val="22"/>
        </w:rPr>
        <w:t>Epub</w:t>
      </w:r>
      <w:proofErr w:type="spellEnd"/>
      <w:r w:rsidRPr="00C80762">
        <w:rPr>
          <w:rFonts w:cs="Palatino Linotype"/>
          <w:sz w:val="22"/>
          <w:szCs w:val="22"/>
        </w:rPr>
        <w:t xml:space="preserve"> 2008 May 18.</w:t>
      </w:r>
    </w:p>
  </w:endnote>
  <w:endnote w:id="57">
    <w:p w14:paraId="4571A7EB" w14:textId="77777777" w:rsidR="004A70CE" w:rsidRPr="00C80762" w:rsidRDefault="004A70CE" w:rsidP="00834472">
      <w:pPr>
        <w:spacing w:after="0" w:line="240" w:lineRule="auto"/>
        <w:rPr>
          <w:sz w:val="22"/>
          <w:szCs w:val="22"/>
        </w:rPr>
      </w:pPr>
      <w:r w:rsidRPr="00C80762">
        <w:rPr>
          <w:rStyle w:val="EndnoteReference"/>
          <w:rFonts w:cs="Palatino Linotype"/>
          <w:sz w:val="22"/>
          <w:szCs w:val="22"/>
        </w:rPr>
        <w:endnoteRef/>
      </w:r>
      <w:r w:rsidRPr="00C80762">
        <w:rPr>
          <w:rFonts w:cs="Palatino Linotype"/>
          <w:sz w:val="22"/>
          <w:szCs w:val="22"/>
        </w:rPr>
        <w:t xml:space="preserve"> Yu XH, Yang YJ, Wang X, Wang QH, Xie M, Qi BX, Liu CT, Wang XL, Jia YJ, Zhong L. [Effect of hyperbaric oxygenation on neural stem cells and myelin in neonatal rats with hypoxic-ischemic brain damage] </w:t>
      </w:r>
      <w:proofErr w:type="spellStart"/>
      <w:r w:rsidRPr="00C80762">
        <w:rPr>
          <w:rFonts w:cs="Palatino Linotype"/>
          <w:sz w:val="22"/>
          <w:szCs w:val="22"/>
        </w:rPr>
        <w:t>Zhongguo</w:t>
      </w:r>
      <w:proofErr w:type="spellEnd"/>
      <w:r w:rsidRPr="00C80762">
        <w:rPr>
          <w:rFonts w:cs="Palatino Linotype"/>
          <w:sz w:val="22"/>
          <w:szCs w:val="22"/>
        </w:rPr>
        <w:t xml:space="preserve"> Dang Dai Er Ke Za Zhi. 2006 Feb;8(1):33-</w:t>
      </w:r>
      <w:proofErr w:type="gramStart"/>
      <w:r w:rsidRPr="00C80762">
        <w:rPr>
          <w:rFonts w:cs="Palatino Linotype"/>
          <w:sz w:val="22"/>
          <w:szCs w:val="22"/>
        </w:rPr>
        <w:t>7.[</w:t>
      </w:r>
      <w:proofErr w:type="gramEnd"/>
      <w:r w:rsidRPr="00C80762">
        <w:rPr>
          <w:rFonts w:cs="Palatino Linotype"/>
          <w:sz w:val="22"/>
          <w:szCs w:val="22"/>
        </w:rPr>
        <w:t xml:space="preserve">Article in Chinese] </w:t>
      </w:r>
    </w:p>
  </w:endnote>
  <w:endnote w:id="58">
    <w:p w14:paraId="3443B2D9" w14:textId="77777777" w:rsidR="004A70CE" w:rsidRPr="00C80762" w:rsidRDefault="004A70CE" w:rsidP="00834472">
      <w:pPr>
        <w:spacing w:after="0" w:line="240" w:lineRule="auto"/>
        <w:rPr>
          <w:sz w:val="22"/>
          <w:szCs w:val="22"/>
        </w:rPr>
      </w:pPr>
      <w:r w:rsidRPr="00C80762">
        <w:rPr>
          <w:rStyle w:val="EndnoteReference"/>
          <w:rFonts w:cs="Palatino Linotype"/>
          <w:sz w:val="22"/>
          <w:szCs w:val="22"/>
        </w:rPr>
        <w:endnoteRef/>
      </w:r>
      <w:r w:rsidRPr="00C80762">
        <w:rPr>
          <w:rFonts w:cs="Palatino Linotype"/>
          <w:sz w:val="22"/>
          <w:szCs w:val="22"/>
        </w:rPr>
        <w:t xml:space="preserve"> Zhou Z, Daugherty WP, Sun D, Levasseur JE, </w:t>
      </w:r>
      <w:proofErr w:type="spellStart"/>
      <w:r w:rsidRPr="00C80762">
        <w:rPr>
          <w:rFonts w:cs="Palatino Linotype"/>
          <w:sz w:val="22"/>
          <w:szCs w:val="22"/>
        </w:rPr>
        <w:t>Altememi</w:t>
      </w:r>
      <w:proofErr w:type="spellEnd"/>
      <w:r w:rsidRPr="00C80762">
        <w:rPr>
          <w:rFonts w:cs="Palatino Linotype"/>
          <w:sz w:val="22"/>
          <w:szCs w:val="22"/>
        </w:rPr>
        <w:t xml:space="preserve"> N, Hamm RJ, </w:t>
      </w:r>
      <w:proofErr w:type="spellStart"/>
      <w:r w:rsidRPr="00C80762">
        <w:rPr>
          <w:rFonts w:cs="Palatino Linotype"/>
          <w:sz w:val="22"/>
          <w:szCs w:val="22"/>
        </w:rPr>
        <w:t>Rockswold</w:t>
      </w:r>
      <w:proofErr w:type="spellEnd"/>
      <w:r w:rsidRPr="00C80762">
        <w:rPr>
          <w:rFonts w:cs="Palatino Linotype"/>
          <w:sz w:val="22"/>
          <w:szCs w:val="22"/>
        </w:rPr>
        <w:t xml:space="preserve"> </w:t>
      </w:r>
      <w:proofErr w:type="spellStart"/>
      <w:proofErr w:type="gramStart"/>
      <w:r w:rsidRPr="00C80762">
        <w:rPr>
          <w:rFonts w:cs="Palatino Linotype"/>
          <w:sz w:val="22"/>
          <w:szCs w:val="22"/>
        </w:rPr>
        <w:t>GL,Bullock</w:t>
      </w:r>
      <w:proofErr w:type="spellEnd"/>
      <w:proofErr w:type="gramEnd"/>
      <w:r w:rsidRPr="00C80762">
        <w:rPr>
          <w:rFonts w:cs="Palatino Linotype"/>
          <w:sz w:val="22"/>
          <w:szCs w:val="22"/>
        </w:rPr>
        <w:t xml:space="preserve"> MR. Protection of mitochondrial function and improvement in cognitive recovery in rats treated with hyperbaric oxygen following lateral fluid-percussion injury. J </w:t>
      </w:r>
      <w:proofErr w:type="spellStart"/>
      <w:r w:rsidRPr="00C80762">
        <w:rPr>
          <w:rFonts w:cs="Palatino Linotype"/>
          <w:sz w:val="22"/>
          <w:szCs w:val="22"/>
        </w:rPr>
        <w:t>Neurosurg</w:t>
      </w:r>
      <w:proofErr w:type="spellEnd"/>
      <w:r w:rsidRPr="00C80762">
        <w:rPr>
          <w:rFonts w:cs="Palatino Linotype"/>
          <w:sz w:val="22"/>
          <w:szCs w:val="22"/>
        </w:rPr>
        <w:t xml:space="preserve">. 2007 Apr;106(4):687-94. </w:t>
      </w:r>
    </w:p>
  </w:endnote>
  <w:endnote w:id="59">
    <w:p w14:paraId="2430F0EC" w14:textId="77777777" w:rsidR="004A70CE" w:rsidRPr="00C80762" w:rsidRDefault="004A70CE" w:rsidP="00834472">
      <w:pPr>
        <w:spacing w:after="0" w:line="240" w:lineRule="auto"/>
        <w:rPr>
          <w:sz w:val="22"/>
          <w:szCs w:val="22"/>
        </w:rPr>
      </w:pPr>
      <w:r w:rsidRPr="00C80762">
        <w:rPr>
          <w:rStyle w:val="EndnoteReference"/>
          <w:rFonts w:cs="Palatino Linotype"/>
          <w:sz w:val="22"/>
          <w:szCs w:val="22"/>
        </w:rPr>
        <w:endnoteRef/>
      </w:r>
      <w:r w:rsidRPr="00C80762">
        <w:rPr>
          <w:rFonts w:cs="Palatino Linotype"/>
          <w:sz w:val="22"/>
          <w:szCs w:val="22"/>
        </w:rPr>
        <w:t xml:space="preserve"> Zhou Z, Daugherty WP, Sun D, Levasseur JE, </w:t>
      </w:r>
      <w:proofErr w:type="spellStart"/>
      <w:r w:rsidRPr="00C80762">
        <w:rPr>
          <w:rFonts w:cs="Palatino Linotype"/>
          <w:sz w:val="22"/>
          <w:szCs w:val="22"/>
        </w:rPr>
        <w:t>Altememi</w:t>
      </w:r>
      <w:proofErr w:type="spellEnd"/>
      <w:r w:rsidRPr="00C80762">
        <w:rPr>
          <w:rFonts w:cs="Palatino Linotype"/>
          <w:sz w:val="22"/>
          <w:szCs w:val="22"/>
        </w:rPr>
        <w:t xml:space="preserve"> N, Hamm RJ, </w:t>
      </w:r>
      <w:proofErr w:type="spellStart"/>
      <w:r w:rsidRPr="00C80762">
        <w:rPr>
          <w:rFonts w:cs="Palatino Linotype"/>
          <w:sz w:val="22"/>
          <w:szCs w:val="22"/>
        </w:rPr>
        <w:t>Rockswold</w:t>
      </w:r>
      <w:proofErr w:type="spellEnd"/>
      <w:r w:rsidRPr="00C80762">
        <w:rPr>
          <w:rFonts w:cs="Palatino Linotype"/>
          <w:sz w:val="22"/>
          <w:szCs w:val="22"/>
        </w:rPr>
        <w:t xml:space="preserve"> </w:t>
      </w:r>
      <w:proofErr w:type="spellStart"/>
      <w:proofErr w:type="gramStart"/>
      <w:r w:rsidRPr="00C80762">
        <w:rPr>
          <w:rFonts w:cs="Palatino Linotype"/>
          <w:sz w:val="22"/>
          <w:szCs w:val="22"/>
        </w:rPr>
        <w:t>GL,Bullock</w:t>
      </w:r>
      <w:proofErr w:type="spellEnd"/>
      <w:proofErr w:type="gramEnd"/>
      <w:r w:rsidRPr="00C80762">
        <w:rPr>
          <w:rFonts w:cs="Palatino Linotype"/>
          <w:sz w:val="22"/>
          <w:szCs w:val="22"/>
        </w:rPr>
        <w:t xml:space="preserve"> MR. Protection of mitochondrial function and improvement in cognitive recovery in rats treated with hyperbaric oxygen following lateral fluid-percussion injury. J </w:t>
      </w:r>
      <w:proofErr w:type="spellStart"/>
      <w:r w:rsidRPr="00C80762">
        <w:rPr>
          <w:rFonts w:cs="Palatino Linotype"/>
          <w:sz w:val="22"/>
          <w:szCs w:val="22"/>
        </w:rPr>
        <w:t>Neurosurg</w:t>
      </w:r>
      <w:proofErr w:type="spellEnd"/>
      <w:r w:rsidRPr="00C80762">
        <w:rPr>
          <w:rFonts w:cs="Palatino Linotype"/>
          <w:sz w:val="22"/>
          <w:szCs w:val="22"/>
        </w:rPr>
        <w:t xml:space="preserve">. 2007 Apr;106(4):687-94. </w:t>
      </w:r>
    </w:p>
  </w:endnote>
  <w:endnote w:id="60">
    <w:p w14:paraId="04974928" w14:textId="77777777" w:rsidR="004A70CE" w:rsidRPr="00C80762" w:rsidRDefault="004A70CE" w:rsidP="00834472">
      <w:pPr>
        <w:spacing w:after="0" w:line="240" w:lineRule="auto"/>
        <w:rPr>
          <w:sz w:val="22"/>
          <w:szCs w:val="22"/>
        </w:rPr>
      </w:pPr>
      <w:r w:rsidRPr="00C80762">
        <w:rPr>
          <w:rStyle w:val="EndnoteReference"/>
          <w:rFonts w:cs="Palatino Linotype"/>
          <w:sz w:val="22"/>
          <w:szCs w:val="22"/>
        </w:rPr>
        <w:endnoteRef/>
      </w:r>
      <w:r w:rsidRPr="00C80762">
        <w:rPr>
          <w:rFonts w:cs="Palatino Linotype"/>
          <w:sz w:val="22"/>
          <w:szCs w:val="22"/>
        </w:rPr>
        <w:t xml:space="preserve"> Rossignol DA, Rossignol LW, James SJ, Melnyk S, Mumper E. The effects of hyperbaric oxygen therapy on oxidative stress, inflammation, and symptoms in children with autism: an open-label pilot study. BMC </w:t>
      </w:r>
      <w:proofErr w:type="spellStart"/>
      <w:r w:rsidRPr="00C80762">
        <w:rPr>
          <w:rFonts w:cs="Palatino Linotype"/>
          <w:sz w:val="22"/>
          <w:szCs w:val="22"/>
        </w:rPr>
        <w:t>Pediatr</w:t>
      </w:r>
      <w:proofErr w:type="spellEnd"/>
      <w:r w:rsidRPr="00C80762">
        <w:rPr>
          <w:rFonts w:cs="Palatino Linotype"/>
          <w:sz w:val="22"/>
          <w:szCs w:val="22"/>
        </w:rPr>
        <w:t xml:space="preserve">. 2007 Nov </w:t>
      </w:r>
      <w:proofErr w:type="gramStart"/>
      <w:r w:rsidRPr="00C80762">
        <w:rPr>
          <w:rFonts w:cs="Palatino Linotype"/>
          <w:sz w:val="22"/>
          <w:szCs w:val="22"/>
        </w:rPr>
        <w:t>16;7:36</w:t>
      </w:r>
      <w:proofErr w:type="gramEnd"/>
      <w:r w:rsidRPr="00C80762">
        <w:rPr>
          <w:rFonts w:cs="Palatino Linotype"/>
          <w:sz w:val="22"/>
          <w:szCs w:val="22"/>
        </w:rPr>
        <w:t xml:space="preserve">. </w:t>
      </w:r>
    </w:p>
  </w:endnote>
  <w:endnote w:id="61">
    <w:p w14:paraId="3ADE3895" w14:textId="77777777" w:rsidR="004A70CE" w:rsidRPr="00C80762" w:rsidRDefault="004A70CE" w:rsidP="00834472">
      <w:pPr>
        <w:pStyle w:val="HTMLPreformatted"/>
        <w:rPr>
          <w:rFonts w:ascii="Palatino Linotype" w:hAnsi="Palatino Linotype"/>
          <w:sz w:val="22"/>
          <w:szCs w:val="22"/>
        </w:rPr>
      </w:pPr>
      <w:r w:rsidRPr="00C80762">
        <w:rPr>
          <w:rStyle w:val="EndnoteReference"/>
          <w:rFonts w:ascii="Palatino Linotype" w:eastAsiaTheme="majorEastAsia" w:hAnsi="Palatino Linotype" w:cs="Palatino Linotype"/>
          <w:sz w:val="22"/>
          <w:szCs w:val="22"/>
        </w:rPr>
        <w:endnoteRef/>
      </w:r>
      <w:r w:rsidRPr="00C80762">
        <w:rPr>
          <w:rFonts w:ascii="Palatino Linotype" w:hAnsi="Palatino Linotype" w:cs="Palatino Linotype"/>
          <w:sz w:val="22"/>
          <w:szCs w:val="22"/>
        </w:rPr>
        <w:t xml:space="preserve"> </w:t>
      </w:r>
      <w:proofErr w:type="spellStart"/>
      <w:r w:rsidRPr="00C80762">
        <w:rPr>
          <w:rFonts w:ascii="Palatino Linotype" w:hAnsi="Palatino Linotype" w:cs="Palatino Linotype"/>
          <w:sz w:val="22"/>
          <w:szCs w:val="22"/>
        </w:rPr>
        <w:t>Hadanny</w:t>
      </w:r>
      <w:proofErr w:type="spellEnd"/>
      <w:r w:rsidRPr="00C80762">
        <w:rPr>
          <w:rFonts w:ascii="Palatino Linotype" w:hAnsi="Palatino Linotype" w:cs="Palatino Linotype"/>
          <w:sz w:val="22"/>
          <w:szCs w:val="22"/>
        </w:rPr>
        <w:t xml:space="preserve"> A, Abbott S, </w:t>
      </w:r>
      <w:proofErr w:type="spellStart"/>
      <w:r w:rsidRPr="00C80762">
        <w:rPr>
          <w:rFonts w:ascii="Palatino Linotype" w:hAnsi="Palatino Linotype" w:cs="Palatino Linotype"/>
          <w:sz w:val="22"/>
          <w:szCs w:val="22"/>
        </w:rPr>
        <w:t>Suzin</w:t>
      </w:r>
      <w:proofErr w:type="spellEnd"/>
      <w:r w:rsidRPr="00C80762">
        <w:rPr>
          <w:rFonts w:ascii="Palatino Linotype" w:hAnsi="Palatino Linotype" w:cs="Palatino Linotype"/>
          <w:sz w:val="22"/>
          <w:szCs w:val="22"/>
        </w:rPr>
        <w:t xml:space="preserve"> G, </w:t>
      </w:r>
      <w:proofErr w:type="spellStart"/>
      <w:r w:rsidRPr="00C80762">
        <w:rPr>
          <w:rFonts w:ascii="Palatino Linotype" w:hAnsi="Palatino Linotype" w:cs="Palatino Linotype"/>
          <w:sz w:val="22"/>
          <w:szCs w:val="22"/>
        </w:rPr>
        <w:t>Bechor</w:t>
      </w:r>
      <w:proofErr w:type="spellEnd"/>
      <w:r w:rsidRPr="00C80762">
        <w:rPr>
          <w:rFonts w:ascii="Palatino Linotype" w:hAnsi="Palatino Linotype" w:cs="Palatino Linotype"/>
          <w:sz w:val="22"/>
          <w:szCs w:val="22"/>
        </w:rPr>
        <w:t xml:space="preserve"> Y, Efrati S. Effect of hyperbaric oxygen therapy on chronic neurocognitive deficits of post-traumatic brain injury patients: retrospective analysis. BMJ Open. 2018 Sep 28;8(9</w:t>
      </w:r>
      <w:proofErr w:type="gramStart"/>
      <w:r w:rsidRPr="00C80762">
        <w:rPr>
          <w:rFonts w:ascii="Palatino Linotype" w:hAnsi="Palatino Linotype" w:cs="Palatino Linotype"/>
          <w:sz w:val="22"/>
          <w:szCs w:val="22"/>
        </w:rPr>
        <w:t>):e</w:t>
      </w:r>
      <w:proofErr w:type="gramEnd"/>
      <w:r w:rsidRPr="00C80762">
        <w:rPr>
          <w:rFonts w:ascii="Palatino Linotype" w:hAnsi="Palatino Linotype" w:cs="Palatino Linotype"/>
          <w:sz w:val="22"/>
          <w:szCs w:val="22"/>
        </w:rPr>
        <w:t xml:space="preserve">023387. </w:t>
      </w:r>
    </w:p>
  </w:endnote>
  <w:endnote w:id="62">
    <w:p w14:paraId="2904B4D1" w14:textId="70C10AE5"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Johnson VE, Stewart W, Smith DH. Axonal pathology in traumatic brain injury. Exp Neurol. 2013 </w:t>
      </w:r>
      <w:proofErr w:type="gramStart"/>
      <w:r w:rsidRPr="00C80762">
        <w:rPr>
          <w:rFonts w:ascii="Palatino Linotype" w:hAnsi="Palatino Linotype"/>
          <w:sz w:val="22"/>
          <w:szCs w:val="22"/>
        </w:rPr>
        <w:t>Aug;246:35</w:t>
      </w:r>
      <w:proofErr w:type="gramEnd"/>
      <w:r w:rsidRPr="00C80762">
        <w:rPr>
          <w:rFonts w:ascii="Palatino Linotype" w:hAnsi="Palatino Linotype"/>
          <w:sz w:val="22"/>
          <w:szCs w:val="22"/>
        </w:rPr>
        <w:t xml:space="preserve">-43. </w:t>
      </w:r>
    </w:p>
  </w:endnote>
  <w:endnote w:id="63">
    <w:p w14:paraId="774183E6" w14:textId="17DE6A6C"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Dick EJ Jr, Broome JR, Hayward IJ. Acute neurologic decompression illness in pigs: lesions of the spinal cord and brain. Lab Anim Sci. 1997 Feb;47(1):50-7.</w:t>
      </w:r>
    </w:p>
  </w:endnote>
  <w:endnote w:id="64">
    <w:p w14:paraId="64A700D2" w14:textId="646E1C00"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Sykes JJ, Yaffe LJ. Light and electron microscopic alterations in spinal cord myelin sheaths after decompression sickness. Undersea Biomed Res. 1985 Sep;12(3):251-8. </w:t>
      </w:r>
    </w:p>
  </w:endnote>
  <w:endnote w:id="65">
    <w:p w14:paraId="3A58335A" w14:textId="38CBE77B"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Murayama R, Cai Y, Nakamura H, Hashimoto K. Demyelination in psychiatric and neurological disorders: Mechanisms, clinical impact, and novel therapeutic strategies. </w:t>
      </w:r>
      <w:proofErr w:type="spellStart"/>
      <w:r w:rsidRPr="00C80762">
        <w:rPr>
          <w:rFonts w:ascii="Palatino Linotype" w:hAnsi="Palatino Linotype"/>
          <w:sz w:val="22"/>
          <w:szCs w:val="22"/>
        </w:rPr>
        <w:t>Neurosci</w:t>
      </w:r>
      <w:proofErr w:type="spellEnd"/>
      <w:r w:rsidRPr="00C80762">
        <w:rPr>
          <w:rFonts w:ascii="Palatino Linotype" w:hAnsi="Palatino Linotype"/>
          <w:sz w:val="22"/>
          <w:szCs w:val="22"/>
        </w:rPr>
        <w:t xml:space="preserve"> </w:t>
      </w:r>
      <w:proofErr w:type="spellStart"/>
      <w:r w:rsidRPr="00C80762">
        <w:rPr>
          <w:rFonts w:ascii="Palatino Linotype" w:hAnsi="Palatino Linotype"/>
          <w:sz w:val="22"/>
          <w:szCs w:val="22"/>
        </w:rPr>
        <w:t>Biobehav</w:t>
      </w:r>
      <w:proofErr w:type="spellEnd"/>
      <w:r w:rsidRPr="00C80762">
        <w:rPr>
          <w:rFonts w:ascii="Palatino Linotype" w:hAnsi="Palatino Linotype"/>
          <w:sz w:val="22"/>
          <w:szCs w:val="22"/>
        </w:rPr>
        <w:t xml:space="preserve"> Rev. 2025 </w:t>
      </w:r>
      <w:proofErr w:type="gramStart"/>
      <w:r w:rsidRPr="00C80762">
        <w:rPr>
          <w:rFonts w:ascii="Palatino Linotype" w:hAnsi="Palatino Linotype"/>
          <w:sz w:val="22"/>
          <w:szCs w:val="22"/>
        </w:rPr>
        <w:t>Jul;174:106209</w:t>
      </w:r>
      <w:proofErr w:type="gramEnd"/>
      <w:r w:rsidRPr="00C80762">
        <w:rPr>
          <w:rFonts w:ascii="Palatino Linotype" w:hAnsi="Palatino Linotype"/>
          <w:sz w:val="22"/>
          <w:szCs w:val="22"/>
        </w:rPr>
        <w:t xml:space="preserve">. </w:t>
      </w:r>
    </w:p>
  </w:endnote>
  <w:endnote w:id="66">
    <w:p w14:paraId="031AF8D8" w14:textId="752977DD"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Rao, R.P., </w:t>
      </w:r>
      <w:proofErr w:type="spellStart"/>
      <w:r w:rsidRPr="00C80762">
        <w:rPr>
          <w:rFonts w:ascii="Palatino Linotype" w:hAnsi="Palatino Linotype"/>
          <w:sz w:val="22"/>
          <w:szCs w:val="22"/>
        </w:rPr>
        <w:t>Suvrathan</w:t>
      </w:r>
      <w:proofErr w:type="spellEnd"/>
      <w:r w:rsidRPr="00C80762">
        <w:rPr>
          <w:rFonts w:ascii="Palatino Linotype" w:hAnsi="Palatino Linotype"/>
          <w:sz w:val="22"/>
          <w:szCs w:val="22"/>
        </w:rPr>
        <w:t xml:space="preserve">, A., Miller, M.M., McEwen, B.S., </w:t>
      </w:r>
      <w:proofErr w:type="spellStart"/>
      <w:r w:rsidRPr="00C80762">
        <w:rPr>
          <w:rFonts w:ascii="Palatino Linotype" w:hAnsi="Palatino Linotype"/>
          <w:sz w:val="22"/>
          <w:szCs w:val="22"/>
        </w:rPr>
        <w:t>Chattarji</w:t>
      </w:r>
      <w:proofErr w:type="spellEnd"/>
      <w:r w:rsidRPr="00C80762">
        <w:rPr>
          <w:rFonts w:ascii="Palatino Linotype" w:hAnsi="Palatino Linotype"/>
          <w:sz w:val="22"/>
          <w:szCs w:val="22"/>
        </w:rPr>
        <w:t>, S. (2009). PTSD: From Neurons to Networks. In: LeDoux, J., Keane, T., Shiromani, P. (eds) Post-Traumatic Stress Disorder. Humana Press. https://doi.org/10.1007/978-1-60327-329-9_7</w:t>
      </w:r>
    </w:p>
  </w:endnote>
  <w:endnote w:id="67">
    <w:p w14:paraId="215EA913" w14:textId="017C2FEE"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Kaplan GB, Leite-Morris KA, Wang L, </w:t>
      </w:r>
      <w:proofErr w:type="spellStart"/>
      <w:r w:rsidRPr="00C80762">
        <w:rPr>
          <w:rFonts w:ascii="Palatino Linotype" w:hAnsi="Palatino Linotype"/>
          <w:sz w:val="22"/>
          <w:szCs w:val="22"/>
        </w:rPr>
        <w:t>Rumbika</w:t>
      </w:r>
      <w:proofErr w:type="spellEnd"/>
      <w:r w:rsidRPr="00C80762">
        <w:rPr>
          <w:rFonts w:ascii="Palatino Linotype" w:hAnsi="Palatino Linotype"/>
          <w:sz w:val="22"/>
          <w:szCs w:val="22"/>
        </w:rPr>
        <w:t xml:space="preserve"> KK, Heinrichs SC, Zeng X, Wu L, Arena DT, Teng YD. Pathophysiological Bases of Comorbidity: Traumatic Brain Injury and Post-Traumatic Stress Disorder. J Neurotrauma. 2018 Jan 15;35(2):210-225. </w:t>
      </w:r>
    </w:p>
  </w:endnote>
  <w:endnote w:id="68">
    <w:p w14:paraId="5E1A412D" w14:textId="14477390"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Kaplan GB, Vasterling JJ, Vedak PC. Brain-derived neurotrophic factor in traumatic brain injury, post-traumatic stress disorder, and their comorbid conditions: role in pathogenesis and treatment. </w:t>
      </w:r>
      <w:proofErr w:type="spellStart"/>
      <w:r w:rsidRPr="00C80762">
        <w:rPr>
          <w:rFonts w:ascii="Palatino Linotype" w:hAnsi="Palatino Linotype"/>
          <w:sz w:val="22"/>
          <w:szCs w:val="22"/>
        </w:rPr>
        <w:t>Behav</w:t>
      </w:r>
      <w:proofErr w:type="spellEnd"/>
      <w:r w:rsidRPr="00C80762">
        <w:rPr>
          <w:rFonts w:ascii="Palatino Linotype" w:hAnsi="Palatino Linotype"/>
          <w:sz w:val="22"/>
          <w:szCs w:val="22"/>
        </w:rPr>
        <w:t xml:space="preserve"> </w:t>
      </w:r>
      <w:proofErr w:type="spellStart"/>
      <w:r w:rsidRPr="00C80762">
        <w:rPr>
          <w:rFonts w:ascii="Palatino Linotype" w:hAnsi="Palatino Linotype"/>
          <w:sz w:val="22"/>
          <w:szCs w:val="22"/>
        </w:rPr>
        <w:t>Pharmacol</w:t>
      </w:r>
      <w:proofErr w:type="spellEnd"/>
      <w:r w:rsidRPr="00C80762">
        <w:rPr>
          <w:rFonts w:ascii="Palatino Linotype" w:hAnsi="Palatino Linotype"/>
          <w:sz w:val="22"/>
          <w:szCs w:val="22"/>
        </w:rPr>
        <w:t xml:space="preserve">. 2010 Sep;21(5-6):427-37. </w:t>
      </w:r>
    </w:p>
  </w:endnote>
  <w:endnote w:id="69">
    <w:p w14:paraId="0B97E74A" w14:textId="0FB476F8"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Etkin A, Prater KE, Schatzberg AF, Menon V, </w:t>
      </w:r>
      <w:proofErr w:type="spellStart"/>
      <w:r w:rsidRPr="00C80762">
        <w:rPr>
          <w:rFonts w:ascii="Palatino Linotype" w:hAnsi="Palatino Linotype"/>
          <w:sz w:val="22"/>
          <w:szCs w:val="22"/>
        </w:rPr>
        <w:t>Greicius</w:t>
      </w:r>
      <w:proofErr w:type="spellEnd"/>
      <w:r w:rsidRPr="00C80762">
        <w:rPr>
          <w:rFonts w:ascii="Palatino Linotype" w:hAnsi="Palatino Linotype"/>
          <w:sz w:val="22"/>
          <w:szCs w:val="22"/>
        </w:rPr>
        <w:t xml:space="preserve"> MD. Disrupted </w:t>
      </w:r>
      <w:proofErr w:type="spellStart"/>
      <w:r w:rsidRPr="00C80762">
        <w:rPr>
          <w:rFonts w:ascii="Palatino Linotype" w:hAnsi="Palatino Linotype"/>
          <w:sz w:val="22"/>
          <w:szCs w:val="22"/>
        </w:rPr>
        <w:t>amygdalar</w:t>
      </w:r>
      <w:proofErr w:type="spellEnd"/>
      <w:r w:rsidRPr="00C80762">
        <w:rPr>
          <w:rFonts w:ascii="Palatino Linotype" w:hAnsi="Palatino Linotype"/>
          <w:sz w:val="22"/>
          <w:szCs w:val="22"/>
        </w:rPr>
        <w:t xml:space="preserve"> subregion functional connectivity and evidence of a compensatory network in generalized anxiety disorder. Arch Gen Psychiatry. 2009 Dec;66(12):1361-72.</w:t>
      </w:r>
    </w:p>
  </w:endnote>
  <w:endnote w:id="70">
    <w:p w14:paraId="31DD91AA" w14:textId="13FFAAC4"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Catalogna M, Sasson E, </w:t>
      </w:r>
      <w:proofErr w:type="spellStart"/>
      <w:r w:rsidRPr="00C80762">
        <w:rPr>
          <w:rFonts w:ascii="Palatino Linotype" w:hAnsi="Palatino Linotype"/>
          <w:sz w:val="22"/>
          <w:szCs w:val="22"/>
        </w:rPr>
        <w:t>Hadanny</w:t>
      </w:r>
      <w:proofErr w:type="spellEnd"/>
      <w:r w:rsidRPr="00C80762">
        <w:rPr>
          <w:rFonts w:ascii="Palatino Linotype" w:hAnsi="Palatino Linotype"/>
          <w:sz w:val="22"/>
          <w:szCs w:val="22"/>
        </w:rPr>
        <w:t xml:space="preserve"> A, Parag Y, Zilberman-Itskovich S, Efrati S. Effects of hyperbaric oxygen therapy on functional and structural connectivity in post-COVID-19 condition patients: A randomized, sham-controlled trial. Neuroimage Clin. </w:t>
      </w:r>
      <w:proofErr w:type="gramStart"/>
      <w:r w:rsidRPr="00C80762">
        <w:rPr>
          <w:rFonts w:ascii="Palatino Linotype" w:hAnsi="Palatino Linotype"/>
          <w:sz w:val="22"/>
          <w:szCs w:val="22"/>
        </w:rPr>
        <w:t>2022;36:103218</w:t>
      </w:r>
      <w:proofErr w:type="gramEnd"/>
      <w:r w:rsidRPr="00C80762">
        <w:rPr>
          <w:rFonts w:ascii="Palatino Linotype" w:hAnsi="Palatino Linotype"/>
          <w:sz w:val="22"/>
          <w:szCs w:val="22"/>
        </w:rPr>
        <w:t>. </w:t>
      </w:r>
    </w:p>
  </w:endnote>
  <w:endnote w:id="71">
    <w:p w14:paraId="6B788A26" w14:textId="14291456"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sz w:val="22"/>
          <w:szCs w:val="22"/>
        </w:rPr>
        <w:t>Hadanny</w:t>
      </w:r>
      <w:proofErr w:type="spellEnd"/>
      <w:r w:rsidRPr="00C80762">
        <w:rPr>
          <w:rFonts w:ascii="Palatino Linotype" w:hAnsi="Palatino Linotype"/>
          <w:sz w:val="22"/>
          <w:szCs w:val="22"/>
        </w:rPr>
        <w:t xml:space="preserve"> A, Golan H, </w:t>
      </w:r>
      <w:proofErr w:type="spellStart"/>
      <w:r w:rsidRPr="00C80762">
        <w:rPr>
          <w:rFonts w:ascii="Palatino Linotype" w:hAnsi="Palatino Linotype"/>
          <w:sz w:val="22"/>
          <w:szCs w:val="22"/>
        </w:rPr>
        <w:t>Fishlev</w:t>
      </w:r>
      <w:proofErr w:type="spellEnd"/>
      <w:r w:rsidRPr="00C80762">
        <w:rPr>
          <w:rFonts w:ascii="Palatino Linotype" w:hAnsi="Palatino Linotype"/>
          <w:sz w:val="22"/>
          <w:szCs w:val="22"/>
        </w:rPr>
        <w:t xml:space="preserve"> G, </w:t>
      </w:r>
      <w:proofErr w:type="spellStart"/>
      <w:r w:rsidRPr="00C80762">
        <w:rPr>
          <w:rFonts w:ascii="Palatino Linotype" w:hAnsi="Palatino Linotype"/>
          <w:sz w:val="22"/>
          <w:szCs w:val="22"/>
        </w:rPr>
        <w:t>Bechor</w:t>
      </w:r>
      <w:proofErr w:type="spellEnd"/>
      <w:r w:rsidRPr="00C80762">
        <w:rPr>
          <w:rFonts w:ascii="Palatino Linotype" w:hAnsi="Palatino Linotype"/>
          <w:sz w:val="22"/>
          <w:szCs w:val="22"/>
        </w:rPr>
        <w:t xml:space="preserve"> Y, Volkov O, </w:t>
      </w:r>
      <w:proofErr w:type="spellStart"/>
      <w:r w:rsidRPr="00C80762">
        <w:rPr>
          <w:rFonts w:ascii="Palatino Linotype" w:hAnsi="Palatino Linotype"/>
          <w:sz w:val="22"/>
          <w:szCs w:val="22"/>
        </w:rPr>
        <w:t>Suzin</w:t>
      </w:r>
      <w:proofErr w:type="spellEnd"/>
      <w:r w:rsidRPr="00C80762">
        <w:rPr>
          <w:rFonts w:ascii="Palatino Linotype" w:hAnsi="Palatino Linotype"/>
          <w:sz w:val="22"/>
          <w:szCs w:val="22"/>
        </w:rPr>
        <w:t xml:space="preserve"> G, Ben-Jacob E, Efrati S. Hyperbaric oxygen can induce neuroplasticity and improve cognitive functions of patients suffering from anoxic brain damage. </w:t>
      </w:r>
      <w:proofErr w:type="spellStart"/>
      <w:r w:rsidRPr="00C80762">
        <w:rPr>
          <w:rFonts w:ascii="Palatino Linotype" w:hAnsi="Palatino Linotype"/>
          <w:sz w:val="22"/>
          <w:szCs w:val="22"/>
        </w:rPr>
        <w:t>Restor</w:t>
      </w:r>
      <w:proofErr w:type="spellEnd"/>
      <w:r w:rsidRPr="00C80762">
        <w:rPr>
          <w:rFonts w:ascii="Palatino Linotype" w:hAnsi="Palatino Linotype"/>
          <w:sz w:val="22"/>
          <w:szCs w:val="22"/>
        </w:rPr>
        <w:t xml:space="preserve"> Neurol </w:t>
      </w:r>
      <w:proofErr w:type="spellStart"/>
      <w:r w:rsidRPr="00C80762">
        <w:rPr>
          <w:rFonts w:ascii="Palatino Linotype" w:hAnsi="Palatino Linotype"/>
          <w:sz w:val="22"/>
          <w:szCs w:val="22"/>
        </w:rPr>
        <w:t>Neurosci</w:t>
      </w:r>
      <w:proofErr w:type="spellEnd"/>
      <w:r w:rsidRPr="00C80762">
        <w:rPr>
          <w:rFonts w:ascii="Palatino Linotype" w:hAnsi="Palatino Linotype"/>
          <w:sz w:val="22"/>
          <w:szCs w:val="22"/>
        </w:rPr>
        <w:t xml:space="preserve">. 2015;33(4):471-86. </w:t>
      </w:r>
    </w:p>
  </w:endnote>
  <w:endnote w:id="72">
    <w:p w14:paraId="3B3D3AE4" w14:textId="347967D6"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Bin-Alamer O, Abou-Al-Shaar H, Efrati S, </w:t>
      </w:r>
      <w:proofErr w:type="spellStart"/>
      <w:r w:rsidRPr="00C80762">
        <w:rPr>
          <w:rFonts w:ascii="Palatino Linotype" w:hAnsi="Palatino Linotype"/>
          <w:sz w:val="22"/>
          <w:szCs w:val="22"/>
        </w:rPr>
        <w:t>Hadanny</w:t>
      </w:r>
      <w:proofErr w:type="spellEnd"/>
      <w:r w:rsidRPr="00C80762">
        <w:rPr>
          <w:rFonts w:ascii="Palatino Linotype" w:hAnsi="Palatino Linotype"/>
          <w:sz w:val="22"/>
          <w:szCs w:val="22"/>
        </w:rPr>
        <w:t xml:space="preserve"> A, Beckman RL, </w:t>
      </w:r>
      <w:proofErr w:type="spellStart"/>
      <w:r w:rsidRPr="00C80762">
        <w:rPr>
          <w:rFonts w:ascii="Palatino Linotype" w:hAnsi="Palatino Linotype"/>
          <w:sz w:val="22"/>
          <w:szCs w:val="22"/>
        </w:rPr>
        <w:t>Elamir</w:t>
      </w:r>
      <w:proofErr w:type="spellEnd"/>
      <w:r w:rsidRPr="00C80762">
        <w:rPr>
          <w:rFonts w:ascii="Palatino Linotype" w:hAnsi="Palatino Linotype"/>
          <w:sz w:val="22"/>
          <w:szCs w:val="22"/>
        </w:rPr>
        <w:t xml:space="preserve"> M, Sussman E, Maroon JC. Hyperbaric oxygen therapy as a </w:t>
      </w:r>
      <w:proofErr w:type="spellStart"/>
      <w:r w:rsidRPr="00C80762">
        <w:rPr>
          <w:rFonts w:ascii="Palatino Linotype" w:hAnsi="Palatino Linotype"/>
          <w:sz w:val="22"/>
          <w:szCs w:val="22"/>
        </w:rPr>
        <w:t>neuromodulatory</w:t>
      </w:r>
      <w:proofErr w:type="spellEnd"/>
      <w:r w:rsidRPr="00C80762">
        <w:rPr>
          <w:rFonts w:ascii="Palatino Linotype" w:hAnsi="Palatino Linotype"/>
          <w:sz w:val="22"/>
          <w:szCs w:val="22"/>
        </w:rPr>
        <w:t xml:space="preserve"> technique: a review of the recent evidence. Front Neurol. 2024 Oct </w:t>
      </w:r>
      <w:proofErr w:type="gramStart"/>
      <w:r w:rsidRPr="00C80762">
        <w:rPr>
          <w:rFonts w:ascii="Palatino Linotype" w:hAnsi="Palatino Linotype"/>
          <w:sz w:val="22"/>
          <w:szCs w:val="22"/>
        </w:rPr>
        <w:t>9;15:1450134</w:t>
      </w:r>
      <w:proofErr w:type="gramEnd"/>
      <w:r w:rsidRPr="00C80762">
        <w:rPr>
          <w:rFonts w:ascii="Palatino Linotype" w:hAnsi="Palatino Linotype"/>
          <w:sz w:val="22"/>
          <w:szCs w:val="22"/>
        </w:rPr>
        <w:t>.</w:t>
      </w:r>
    </w:p>
  </w:endnote>
  <w:endnote w:id="73">
    <w:p w14:paraId="3AD553EF" w14:textId="4578A82C"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Denham D, Denham M. EEG-based brain biomarker supports </w:t>
      </w:r>
      <w:proofErr w:type="gramStart"/>
      <w:r w:rsidRPr="00C80762">
        <w:rPr>
          <w:rFonts w:ascii="Palatino Linotype" w:hAnsi="Palatino Linotype"/>
          <w:sz w:val="22"/>
          <w:szCs w:val="22"/>
        </w:rPr>
        <w:t>hyperbaric  oxygen</w:t>
      </w:r>
      <w:proofErr w:type="gramEnd"/>
      <w:r w:rsidRPr="00C80762">
        <w:rPr>
          <w:rFonts w:ascii="Palatino Linotype" w:hAnsi="Palatino Linotype"/>
          <w:sz w:val="22"/>
          <w:szCs w:val="22"/>
        </w:rPr>
        <w:t xml:space="preserve"> therapy for acute concussions. Undersea </w:t>
      </w:r>
      <w:proofErr w:type="spellStart"/>
      <w:r w:rsidRPr="00C80762">
        <w:rPr>
          <w:rFonts w:ascii="Palatino Linotype" w:hAnsi="Palatino Linotype"/>
          <w:sz w:val="22"/>
          <w:szCs w:val="22"/>
        </w:rPr>
        <w:t>Hperbaric</w:t>
      </w:r>
      <w:proofErr w:type="spellEnd"/>
      <w:r w:rsidRPr="00C80762">
        <w:rPr>
          <w:rFonts w:ascii="Palatino Linotype" w:hAnsi="Palatino Linotype"/>
          <w:sz w:val="22"/>
          <w:szCs w:val="22"/>
        </w:rPr>
        <w:t xml:space="preserve"> Med. 2025 52(2):81-92.</w:t>
      </w:r>
    </w:p>
  </w:endnote>
  <w:endnote w:id="74">
    <w:p w14:paraId="7E30ACDC" w14:textId="06FDEEFD" w:rsidR="00DF1947" w:rsidRPr="00C80762" w:rsidRDefault="00DF1947" w:rsidP="00834472">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André-</w:t>
      </w:r>
      <w:proofErr w:type="spellStart"/>
      <w:r w:rsidRPr="00C80762">
        <w:rPr>
          <w:rFonts w:ascii="Palatino Linotype" w:hAnsi="Palatino Linotype" w:cstheme="minorHAnsi"/>
          <w:sz w:val="22"/>
          <w:szCs w:val="22"/>
        </w:rPr>
        <w:t>Lévigne</w:t>
      </w:r>
      <w:proofErr w:type="spellEnd"/>
      <w:r w:rsidRPr="00C80762">
        <w:rPr>
          <w:rFonts w:ascii="Palatino Linotype" w:hAnsi="Palatino Linotype" w:cstheme="minorHAnsi"/>
          <w:sz w:val="22"/>
          <w:szCs w:val="22"/>
        </w:rPr>
        <w:t xml:space="preserve"> D, </w:t>
      </w:r>
      <w:proofErr w:type="spellStart"/>
      <w:r w:rsidRPr="00C80762">
        <w:rPr>
          <w:rFonts w:ascii="Palatino Linotype" w:hAnsi="Palatino Linotype" w:cstheme="minorHAnsi"/>
          <w:sz w:val="22"/>
          <w:szCs w:val="22"/>
        </w:rPr>
        <w:t>Pignel</w:t>
      </w:r>
      <w:proofErr w:type="spellEnd"/>
      <w:r w:rsidRPr="00C80762">
        <w:rPr>
          <w:rFonts w:ascii="Palatino Linotype" w:hAnsi="Palatino Linotype" w:cstheme="minorHAnsi"/>
          <w:sz w:val="22"/>
          <w:szCs w:val="22"/>
        </w:rPr>
        <w:t xml:space="preserve"> R, Boet S, Jaquet V, </w:t>
      </w:r>
      <w:proofErr w:type="spellStart"/>
      <w:r w:rsidRPr="00C80762">
        <w:rPr>
          <w:rFonts w:ascii="Palatino Linotype" w:hAnsi="Palatino Linotype" w:cstheme="minorHAnsi"/>
          <w:sz w:val="22"/>
          <w:szCs w:val="22"/>
        </w:rPr>
        <w:t>Kalbermatten</w:t>
      </w:r>
      <w:proofErr w:type="spellEnd"/>
      <w:r w:rsidRPr="00C80762">
        <w:rPr>
          <w:rFonts w:ascii="Palatino Linotype" w:hAnsi="Palatino Linotype" w:cstheme="minorHAnsi"/>
          <w:sz w:val="22"/>
          <w:szCs w:val="22"/>
        </w:rPr>
        <w:t xml:space="preserve"> DF, Madduri S. Role of Oxygen and Its Radicals in Peripheral Nerve Regeneration: From Hypoxia to </w:t>
      </w:r>
      <w:proofErr w:type="spellStart"/>
      <w:r w:rsidRPr="00C80762">
        <w:rPr>
          <w:rFonts w:ascii="Palatino Linotype" w:hAnsi="Palatino Linotype" w:cstheme="minorHAnsi"/>
          <w:sz w:val="22"/>
          <w:szCs w:val="22"/>
        </w:rPr>
        <w:t>Physoxia</w:t>
      </w:r>
      <w:proofErr w:type="spellEnd"/>
      <w:r w:rsidRPr="00C80762">
        <w:rPr>
          <w:rFonts w:ascii="Palatino Linotype" w:hAnsi="Palatino Linotype" w:cstheme="minorHAnsi"/>
          <w:sz w:val="22"/>
          <w:szCs w:val="22"/>
        </w:rPr>
        <w:t xml:space="preserve"> to Hyperoxia. Int J Mol Sci. 2024 Feb 7;25(4):2030. </w:t>
      </w:r>
    </w:p>
  </w:endnote>
  <w:endnote w:id="75">
    <w:p w14:paraId="1FAD4DA2" w14:textId="56C62388" w:rsidR="00DF1947" w:rsidRPr="00C80762" w:rsidRDefault="00DF1947" w:rsidP="00834472">
      <w:pPr>
        <w:pStyle w:val="EndNoteBibliography"/>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noProof/>
          <w:sz w:val="22"/>
          <w:szCs w:val="22"/>
        </w:rPr>
        <w:t xml:space="preserve">E. Vlodavsky, E. Palzur, and J. F. Soustiel, "Hyperbaric oxygen therapy reduces neuroinflammation and expression of matrix metalloproteinase-9 in the rat model of traumatic brain injury," (in en), Neuropathol Appl Neurobiol, vol. 32, no. 1, pp. 40-50, 2006 2006, </w:t>
      </w:r>
    </w:p>
  </w:endnote>
  <w:endnote w:id="76">
    <w:p w14:paraId="5687F174" w14:textId="6CF90EAB" w:rsidR="00DF1947" w:rsidRPr="00C80762" w:rsidRDefault="00DF1947" w:rsidP="00834472">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noProof/>
          <w:sz w:val="22"/>
          <w:szCs w:val="22"/>
        </w:rPr>
        <w:t>J. Woo, J. H. Min, Y. H. Lee, and H. T. Roh, "Effects of Hyperbaric Oxygen Therapy on Inflammation, Oxidative/Antioxidant Balance, and Muscle Damage after Acute Exercise in Normobaric, Normoxic and Hypobaric, Hypoxic Environments: A Pilot Study," (in eng), Int J Environ Res Public Health, vol. 17, no. 20, Oct 10 2020</w:t>
      </w:r>
      <w:r w:rsidR="00C62E3F" w:rsidRPr="00C80762">
        <w:rPr>
          <w:rFonts w:ascii="Palatino Linotype" w:hAnsi="Palatino Linotype" w:cstheme="minorHAnsi"/>
          <w:noProof/>
          <w:sz w:val="22"/>
          <w:szCs w:val="22"/>
        </w:rPr>
        <w:t>.</w:t>
      </w:r>
    </w:p>
  </w:endnote>
  <w:endnote w:id="77">
    <w:p w14:paraId="3846D26C" w14:textId="29B4A5D7" w:rsidR="00DF1947" w:rsidRPr="00C80762" w:rsidRDefault="00DF1947" w:rsidP="00834472">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noProof/>
          <w:sz w:val="22"/>
          <w:szCs w:val="22"/>
        </w:rPr>
        <w:t xml:space="preserve">T. Oyaizu et al., "Hyperbaric oxygen reduces inflammation, oxygenates injured muscle, and regenerates skeletal muscle via macrophage and satellite cell activation," Scientific Reports, vol. 8, no. 1, p. 1288, 2018/01/22 2018, </w:t>
      </w:r>
    </w:p>
  </w:endnote>
  <w:endnote w:id="78">
    <w:p w14:paraId="10034690" w14:textId="6F2BC87B" w:rsidR="00DF1947" w:rsidRPr="00C80762" w:rsidRDefault="00DF1947" w:rsidP="00834472">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noProof/>
          <w:sz w:val="22"/>
          <w:szCs w:val="22"/>
        </w:rPr>
        <w:t>N. S. Al-Waili and G. J. Butler, "Effects of Hyperbaric Oxygen on Inflammatory Response to Wound and Trauma: Possible Mechanism of Action," The Scientific World Journal, vol. 6, no. 1, p. 842580, 2006/01/01 2006</w:t>
      </w:r>
      <w:r w:rsidR="00C62E3F" w:rsidRPr="00C80762">
        <w:rPr>
          <w:rFonts w:ascii="Palatino Linotype" w:hAnsi="Palatino Linotype" w:cstheme="minorHAnsi"/>
          <w:noProof/>
          <w:sz w:val="22"/>
          <w:szCs w:val="22"/>
        </w:rPr>
        <w:t>.</w:t>
      </w:r>
    </w:p>
  </w:endnote>
  <w:endnote w:id="79">
    <w:p w14:paraId="475CE720" w14:textId="77777777" w:rsidR="00DF1947" w:rsidRPr="00C80762" w:rsidRDefault="00DF1947"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r w:rsidRPr="00C80762">
        <w:rPr>
          <w:rFonts w:ascii="Palatino Linotype" w:hAnsi="Palatino Linotype" w:cstheme="minorHAnsi"/>
          <w:color w:val="212121"/>
          <w:sz w:val="22"/>
          <w:szCs w:val="22"/>
          <w:shd w:val="clear" w:color="auto" w:fill="FFFFFF"/>
        </w:rPr>
        <w:t>Li Y, Cao T, Ritzel RM, He J, Faden AI, Wu J. Dementia, Depression, and Associated Brain Inflammatory Mechanisms after Spinal Cord Injury. Cells. 2020 Jun 8;9(6):1420.</w:t>
      </w:r>
    </w:p>
  </w:endnote>
  <w:endnote w:id="80">
    <w:p w14:paraId="78651886" w14:textId="77777777" w:rsidR="0072265D" w:rsidRPr="00C80762" w:rsidRDefault="0072265D" w:rsidP="00834472">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color w:val="212121"/>
          <w:sz w:val="22"/>
          <w:szCs w:val="22"/>
          <w:shd w:val="clear" w:color="auto" w:fill="FFFFFF"/>
        </w:rPr>
        <w:t xml:space="preserve">Huang L, Zhang Q, Fu C, Liang Z, Xiong F, He C, Wei Q. Effects of hyperbaric oxygen therapy on patients with spinal cord injury: A systematic review and meta-analysis of Randomized Controlled Trials. J Back </w:t>
      </w:r>
      <w:proofErr w:type="spellStart"/>
      <w:r w:rsidRPr="00C80762">
        <w:rPr>
          <w:rFonts w:ascii="Palatino Linotype" w:hAnsi="Palatino Linotype" w:cstheme="minorHAnsi"/>
          <w:color w:val="212121"/>
          <w:sz w:val="22"/>
          <w:szCs w:val="22"/>
          <w:shd w:val="clear" w:color="auto" w:fill="FFFFFF"/>
        </w:rPr>
        <w:t>Musculoskelet</w:t>
      </w:r>
      <w:proofErr w:type="spellEnd"/>
      <w:r w:rsidRPr="00C80762">
        <w:rPr>
          <w:rFonts w:ascii="Palatino Linotype" w:hAnsi="Palatino Linotype" w:cstheme="minorHAnsi"/>
          <w:color w:val="212121"/>
          <w:sz w:val="22"/>
          <w:szCs w:val="22"/>
          <w:shd w:val="clear" w:color="auto" w:fill="FFFFFF"/>
        </w:rPr>
        <w:t xml:space="preserve"> </w:t>
      </w:r>
      <w:proofErr w:type="spellStart"/>
      <w:r w:rsidRPr="00C80762">
        <w:rPr>
          <w:rFonts w:ascii="Palatino Linotype" w:hAnsi="Palatino Linotype" w:cstheme="minorHAnsi"/>
          <w:color w:val="212121"/>
          <w:sz w:val="22"/>
          <w:szCs w:val="22"/>
          <w:shd w:val="clear" w:color="auto" w:fill="FFFFFF"/>
        </w:rPr>
        <w:t>Rehabil</w:t>
      </w:r>
      <w:proofErr w:type="spellEnd"/>
      <w:r w:rsidRPr="00C80762">
        <w:rPr>
          <w:rFonts w:ascii="Palatino Linotype" w:hAnsi="Palatino Linotype" w:cstheme="minorHAnsi"/>
          <w:color w:val="212121"/>
          <w:sz w:val="22"/>
          <w:szCs w:val="22"/>
          <w:shd w:val="clear" w:color="auto" w:fill="FFFFFF"/>
        </w:rPr>
        <w:t>. 2021;34(6):905-913.</w:t>
      </w:r>
    </w:p>
  </w:endnote>
  <w:endnote w:id="81">
    <w:p w14:paraId="596ACE61" w14:textId="77777777" w:rsidR="0072265D" w:rsidRPr="00C80762" w:rsidRDefault="0072265D" w:rsidP="00834472">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color w:val="212121"/>
          <w:sz w:val="22"/>
          <w:szCs w:val="22"/>
          <w:shd w:val="clear" w:color="auto" w:fill="FFFFFF"/>
        </w:rPr>
        <w:t xml:space="preserve">Zhang Z, Li Q, Yang X, Li B, Zhou Y, Hu T, Yuan J, Dong P. Effects of hyperbaric oxygen therapy on postoperative recovery after incomplete cervical spinal cord injury. Spinal Cord. 2022 Feb;60(2):129-134. </w:t>
      </w:r>
    </w:p>
  </w:endnote>
  <w:endnote w:id="82">
    <w:p w14:paraId="304FCC20" w14:textId="77777777" w:rsidR="00AD6DAF" w:rsidRPr="00C80762" w:rsidRDefault="00AD6DAF"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cstheme="minorHAnsi"/>
          <w:sz w:val="22"/>
          <w:szCs w:val="22"/>
        </w:rPr>
        <w:t>Vlodavsky</w:t>
      </w:r>
      <w:proofErr w:type="spellEnd"/>
      <w:r w:rsidRPr="00C80762">
        <w:rPr>
          <w:rFonts w:ascii="Palatino Linotype" w:hAnsi="Palatino Linotype" w:cstheme="minorHAnsi"/>
          <w:sz w:val="22"/>
          <w:szCs w:val="22"/>
        </w:rPr>
        <w:t xml:space="preserve"> E, </w:t>
      </w:r>
      <w:proofErr w:type="spellStart"/>
      <w:r w:rsidRPr="00C80762">
        <w:rPr>
          <w:rFonts w:ascii="Palatino Linotype" w:hAnsi="Palatino Linotype" w:cstheme="minorHAnsi"/>
          <w:sz w:val="22"/>
          <w:szCs w:val="22"/>
        </w:rPr>
        <w:t>Palzur</w:t>
      </w:r>
      <w:proofErr w:type="spellEnd"/>
      <w:r w:rsidRPr="00C80762">
        <w:rPr>
          <w:rFonts w:ascii="Palatino Linotype" w:hAnsi="Palatino Linotype" w:cstheme="minorHAnsi"/>
          <w:sz w:val="22"/>
          <w:szCs w:val="22"/>
        </w:rPr>
        <w:t xml:space="preserve"> E, </w:t>
      </w:r>
      <w:proofErr w:type="spellStart"/>
      <w:r w:rsidRPr="00C80762">
        <w:rPr>
          <w:rFonts w:ascii="Palatino Linotype" w:hAnsi="Palatino Linotype" w:cstheme="minorHAnsi"/>
          <w:sz w:val="22"/>
          <w:szCs w:val="22"/>
        </w:rPr>
        <w:t>Soustiel</w:t>
      </w:r>
      <w:proofErr w:type="spellEnd"/>
      <w:r w:rsidRPr="00C80762">
        <w:rPr>
          <w:rFonts w:ascii="Palatino Linotype" w:hAnsi="Palatino Linotype" w:cstheme="minorHAnsi"/>
          <w:sz w:val="22"/>
          <w:szCs w:val="22"/>
        </w:rPr>
        <w:t xml:space="preserve"> JF. Hyperbaric oxygen therapy reduces neuroinflammation and expression of matrix metalloproteinase-9 in the rat model of traumatic brain injury. </w:t>
      </w:r>
      <w:proofErr w:type="spellStart"/>
      <w:r w:rsidRPr="00C80762">
        <w:rPr>
          <w:rFonts w:ascii="Palatino Linotype" w:hAnsi="Palatino Linotype" w:cstheme="minorHAnsi"/>
          <w:sz w:val="22"/>
          <w:szCs w:val="22"/>
        </w:rPr>
        <w:t>Neuropathol</w:t>
      </w:r>
      <w:proofErr w:type="spellEnd"/>
      <w:r w:rsidRPr="00C80762">
        <w:rPr>
          <w:rFonts w:ascii="Palatino Linotype" w:hAnsi="Palatino Linotype" w:cstheme="minorHAnsi"/>
          <w:sz w:val="22"/>
          <w:szCs w:val="22"/>
        </w:rPr>
        <w:t xml:space="preserve"> Appl </w:t>
      </w:r>
      <w:proofErr w:type="spellStart"/>
      <w:r w:rsidRPr="00C80762">
        <w:rPr>
          <w:rFonts w:ascii="Palatino Linotype" w:hAnsi="Palatino Linotype" w:cstheme="minorHAnsi"/>
          <w:sz w:val="22"/>
          <w:szCs w:val="22"/>
        </w:rPr>
        <w:t>Neurobiol</w:t>
      </w:r>
      <w:proofErr w:type="spellEnd"/>
      <w:r w:rsidRPr="00C80762">
        <w:rPr>
          <w:rFonts w:ascii="Palatino Linotype" w:hAnsi="Palatino Linotype" w:cstheme="minorHAnsi"/>
          <w:sz w:val="22"/>
          <w:szCs w:val="22"/>
        </w:rPr>
        <w:t>. 2006; 32:40-50.</w:t>
      </w:r>
    </w:p>
  </w:endnote>
  <w:endnote w:id="83">
    <w:p w14:paraId="44FF325F" w14:textId="74010C1F" w:rsidR="00AD6DAF" w:rsidRPr="00C80762" w:rsidRDefault="00AD6DAF"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Patel SH, Joseph JJ, Gandhi TR, Mehta A, Shah A. A Review of Emerging Evidence and Clinical Applications of Hyperbaric Oxygen Therapy. J Intensive Care Med. 2025 Mar;40(3):341-351. </w:t>
      </w:r>
    </w:p>
  </w:endnote>
  <w:endnote w:id="84">
    <w:p w14:paraId="0C9E91BD" w14:textId="51F20972" w:rsidR="00C52C47" w:rsidRPr="00C80762" w:rsidRDefault="00C52C47"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sz w:val="22"/>
          <w:szCs w:val="22"/>
        </w:rPr>
        <w:t>Camporesi</w:t>
      </w:r>
      <w:proofErr w:type="spellEnd"/>
      <w:r w:rsidRPr="00C80762">
        <w:rPr>
          <w:rFonts w:ascii="Palatino Linotype" w:hAnsi="Palatino Linotype"/>
          <w:sz w:val="22"/>
          <w:szCs w:val="22"/>
        </w:rPr>
        <w:t xml:space="preserve"> EM, Bosco G. Mechanisms of action of hyperbaric oxygen therapy. Undersea </w:t>
      </w:r>
      <w:proofErr w:type="spellStart"/>
      <w:r w:rsidRPr="00C80762">
        <w:rPr>
          <w:rFonts w:ascii="Palatino Linotype" w:hAnsi="Palatino Linotype"/>
          <w:sz w:val="22"/>
          <w:szCs w:val="22"/>
        </w:rPr>
        <w:t>Hyperb</w:t>
      </w:r>
      <w:proofErr w:type="spellEnd"/>
      <w:r w:rsidRPr="00C80762">
        <w:rPr>
          <w:rFonts w:ascii="Palatino Linotype" w:hAnsi="Palatino Linotype"/>
          <w:sz w:val="22"/>
          <w:szCs w:val="22"/>
        </w:rPr>
        <w:t xml:space="preserve"> Med. 2014;41(3):247-252. </w:t>
      </w:r>
    </w:p>
  </w:endnote>
  <w:endnote w:id="85">
    <w:p w14:paraId="2E530736" w14:textId="77E09BCA" w:rsidR="00DF02B5" w:rsidRPr="00C80762" w:rsidRDefault="00DF02B5"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Benincasa JC, de Freitas Filho LH, Carneiro GD, Sielski MS, Giorgio S, Werneck CC, Vicente CP (2019) Hyperbaric oxygen affects endothelial progenitor cells proliferation in vitro. Cell Biol Int 43:136–146.</w:t>
      </w:r>
    </w:p>
  </w:endnote>
  <w:endnote w:id="86">
    <w:p w14:paraId="7E8958C9" w14:textId="52ACCC84" w:rsidR="00DF02B5" w:rsidRPr="00C80762" w:rsidRDefault="00DF02B5"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sz w:val="22"/>
          <w:szCs w:val="22"/>
        </w:rPr>
        <w:t>Brismar</w:t>
      </w:r>
      <w:proofErr w:type="spellEnd"/>
      <w:r w:rsidRPr="00C80762">
        <w:rPr>
          <w:rFonts w:ascii="Palatino Linotype" w:hAnsi="Palatino Linotype"/>
          <w:sz w:val="22"/>
          <w:szCs w:val="22"/>
        </w:rPr>
        <w:t xml:space="preserve"> K, Lind F, Kratz G (1997) Dose-dependent hyperbaric oxygen stimulation of human fibroblast proliferation. Wound Repair Regen 5:147–150. 10.1046</w:t>
      </w:r>
    </w:p>
  </w:endnote>
  <w:endnote w:id="87">
    <w:p w14:paraId="3352ABB2" w14:textId="63D73083" w:rsidR="00954C8C" w:rsidRPr="00C80762" w:rsidRDefault="00954C8C"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Wee HY, Lim SW, Chio CC, Niu KC, Wang CC, Kuo JR. Hyperbaric oxygen effects on neuronal apoptosis associations in a traumatic brain injury rat model. J Surg Res 2015; 197:382-389. </w:t>
      </w:r>
    </w:p>
  </w:endnote>
  <w:endnote w:id="88">
    <w:p w14:paraId="1AFD2E9D" w14:textId="516D07E7" w:rsidR="00954C8C" w:rsidRPr="00C80762" w:rsidRDefault="00954C8C"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Lu PG, Feng H, Yuan SJ, Zhang RW, Li M, Hu R, et al. Effect of preconditioning with hyperbaric oxygen on neural cell apoptosis after spinal cord injury in rats. J </w:t>
      </w:r>
      <w:proofErr w:type="spellStart"/>
      <w:r w:rsidRPr="00C80762">
        <w:rPr>
          <w:rFonts w:ascii="Palatino Linotype" w:hAnsi="Palatino Linotype"/>
          <w:sz w:val="22"/>
          <w:szCs w:val="22"/>
        </w:rPr>
        <w:t>Neurosurg</w:t>
      </w:r>
      <w:proofErr w:type="spellEnd"/>
      <w:r w:rsidRPr="00C80762">
        <w:rPr>
          <w:rFonts w:ascii="Palatino Linotype" w:hAnsi="Palatino Linotype"/>
          <w:sz w:val="22"/>
          <w:szCs w:val="22"/>
        </w:rPr>
        <w:t xml:space="preserve"> Sci 2013; 57:253-258.</w:t>
      </w:r>
    </w:p>
  </w:endnote>
  <w:endnote w:id="89">
    <w:p w14:paraId="0056C0DE" w14:textId="77777777" w:rsidR="00AD6DAF" w:rsidRPr="00C80762" w:rsidRDefault="00AD6DAF" w:rsidP="00834472">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color w:val="212121"/>
          <w:sz w:val="22"/>
          <w:szCs w:val="22"/>
          <w:shd w:val="clear" w:color="auto" w:fill="FFFFFF"/>
        </w:rPr>
        <w:t>Sun L, Zhao L, Li P, Liu X, Liang F, Jiang Y, Kang N, Gao C, Yang J. Effect of hyperbaric oxygen therapy on HMGB1/NF-</w:t>
      </w:r>
      <w:proofErr w:type="spellStart"/>
      <w:r w:rsidRPr="00C80762">
        <w:rPr>
          <w:rFonts w:ascii="Palatino Linotype" w:hAnsi="Palatino Linotype" w:cstheme="minorHAnsi"/>
          <w:color w:val="212121"/>
          <w:sz w:val="22"/>
          <w:szCs w:val="22"/>
          <w:shd w:val="clear" w:color="auto" w:fill="FFFFFF"/>
        </w:rPr>
        <w:t>κB</w:t>
      </w:r>
      <w:proofErr w:type="spellEnd"/>
      <w:r w:rsidRPr="00C80762">
        <w:rPr>
          <w:rFonts w:ascii="Palatino Linotype" w:hAnsi="Palatino Linotype" w:cstheme="minorHAnsi"/>
          <w:color w:val="212121"/>
          <w:sz w:val="22"/>
          <w:szCs w:val="22"/>
          <w:shd w:val="clear" w:color="auto" w:fill="FFFFFF"/>
        </w:rPr>
        <w:t xml:space="preserve"> expression and prognosis of acute spinal cord injury: A randomized clinical trial. </w:t>
      </w:r>
      <w:proofErr w:type="spellStart"/>
      <w:r w:rsidRPr="00C80762">
        <w:rPr>
          <w:rFonts w:ascii="Palatino Linotype" w:hAnsi="Palatino Linotype" w:cstheme="minorHAnsi"/>
          <w:color w:val="212121"/>
          <w:sz w:val="22"/>
          <w:szCs w:val="22"/>
          <w:shd w:val="clear" w:color="auto" w:fill="FFFFFF"/>
        </w:rPr>
        <w:t>Neurosci</w:t>
      </w:r>
      <w:proofErr w:type="spellEnd"/>
      <w:r w:rsidRPr="00C80762">
        <w:rPr>
          <w:rFonts w:ascii="Palatino Linotype" w:hAnsi="Palatino Linotype" w:cstheme="minorHAnsi"/>
          <w:color w:val="212121"/>
          <w:sz w:val="22"/>
          <w:szCs w:val="22"/>
          <w:shd w:val="clear" w:color="auto" w:fill="FFFFFF"/>
        </w:rPr>
        <w:t xml:space="preserve"> Lett. 2019 Jan </w:t>
      </w:r>
      <w:proofErr w:type="gramStart"/>
      <w:r w:rsidRPr="00C80762">
        <w:rPr>
          <w:rFonts w:ascii="Palatino Linotype" w:hAnsi="Palatino Linotype" w:cstheme="minorHAnsi"/>
          <w:color w:val="212121"/>
          <w:sz w:val="22"/>
          <w:szCs w:val="22"/>
          <w:shd w:val="clear" w:color="auto" w:fill="FFFFFF"/>
        </w:rPr>
        <w:t>23;692:47</w:t>
      </w:r>
      <w:proofErr w:type="gramEnd"/>
      <w:r w:rsidRPr="00C80762">
        <w:rPr>
          <w:rFonts w:ascii="Palatino Linotype" w:hAnsi="Palatino Linotype" w:cstheme="minorHAnsi"/>
          <w:color w:val="212121"/>
          <w:sz w:val="22"/>
          <w:szCs w:val="22"/>
          <w:shd w:val="clear" w:color="auto" w:fill="FFFFFF"/>
        </w:rPr>
        <w:t>-52.</w:t>
      </w:r>
    </w:p>
  </w:endnote>
  <w:endnote w:id="90">
    <w:p w14:paraId="7F309F7B" w14:textId="2571901E"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Teixeira AL, de Miranda AS, Venna VR, Himali JJ, Bauer ME. Understanding late-life depression: focus on inflammation. Curr </w:t>
      </w:r>
      <w:proofErr w:type="spellStart"/>
      <w:r w:rsidRPr="00C80762">
        <w:rPr>
          <w:rFonts w:ascii="Palatino Linotype" w:hAnsi="Palatino Linotype"/>
          <w:sz w:val="22"/>
          <w:szCs w:val="22"/>
        </w:rPr>
        <w:t>Opin</w:t>
      </w:r>
      <w:proofErr w:type="spellEnd"/>
      <w:r w:rsidRPr="00C80762">
        <w:rPr>
          <w:rFonts w:ascii="Palatino Linotype" w:hAnsi="Palatino Linotype"/>
          <w:sz w:val="22"/>
          <w:szCs w:val="22"/>
        </w:rPr>
        <w:t xml:space="preserve"> Psychiatry. 2025 Sep 1;38(5):376-382. </w:t>
      </w:r>
    </w:p>
  </w:endnote>
  <w:endnote w:id="91">
    <w:p w14:paraId="6F52EC63" w14:textId="1FDCF116"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Bauer ME, Teixeira AL. Inflammation in psychiatric disorders: what comes first? Ann N Y </w:t>
      </w:r>
      <w:proofErr w:type="spellStart"/>
      <w:r w:rsidRPr="00C80762">
        <w:rPr>
          <w:rFonts w:ascii="Palatino Linotype" w:hAnsi="Palatino Linotype"/>
          <w:sz w:val="22"/>
          <w:szCs w:val="22"/>
        </w:rPr>
        <w:t>Acad</w:t>
      </w:r>
      <w:proofErr w:type="spellEnd"/>
      <w:r w:rsidRPr="00C80762">
        <w:rPr>
          <w:rFonts w:ascii="Palatino Linotype" w:hAnsi="Palatino Linotype"/>
          <w:sz w:val="22"/>
          <w:szCs w:val="22"/>
        </w:rPr>
        <w:t xml:space="preserve"> Sci 2019; 1437:57–67. </w:t>
      </w:r>
    </w:p>
  </w:endnote>
  <w:endnote w:id="92">
    <w:p w14:paraId="22C182E1" w14:textId="6D37BDBD"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Roman M, Irwin MR. Novel </w:t>
      </w:r>
      <w:proofErr w:type="spellStart"/>
      <w:r w:rsidRPr="00C80762">
        <w:rPr>
          <w:rFonts w:ascii="Palatino Linotype" w:hAnsi="Palatino Linotype"/>
          <w:sz w:val="22"/>
          <w:szCs w:val="22"/>
        </w:rPr>
        <w:t>neuroimmunologic</w:t>
      </w:r>
      <w:proofErr w:type="spellEnd"/>
      <w:r w:rsidRPr="00C80762">
        <w:rPr>
          <w:rFonts w:ascii="Palatino Linotype" w:hAnsi="Palatino Linotype"/>
          <w:sz w:val="22"/>
          <w:szCs w:val="22"/>
        </w:rPr>
        <w:t xml:space="preserve"> therapeutics in depression: A clinical perspective on what we know so far. Brain </w:t>
      </w:r>
      <w:proofErr w:type="spellStart"/>
      <w:r w:rsidRPr="00C80762">
        <w:rPr>
          <w:rFonts w:ascii="Palatino Linotype" w:hAnsi="Palatino Linotype"/>
          <w:sz w:val="22"/>
          <w:szCs w:val="22"/>
        </w:rPr>
        <w:t>Behav</w:t>
      </w:r>
      <w:proofErr w:type="spellEnd"/>
      <w:r w:rsidRPr="00C80762">
        <w:rPr>
          <w:rFonts w:ascii="Palatino Linotype" w:hAnsi="Palatino Linotype"/>
          <w:sz w:val="22"/>
          <w:szCs w:val="22"/>
        </w:rPr>
        <w:t xml:space="preserve"> Immun. 2020 </w:t>
      </w:r>
      <w:proofErr w:type="gramStart"/>
      <w:r w:rsidRPr="00C80762">
        <w:rPr>
          <w:rFonts w:ascii="Palatino Linotype" w:hAnsi="Palatino Linotype"/>
          <w:sz w:val="22"/>
          <w:szCs w:val="22"/>
        </w:rPr>
        <w:t>Jan;83:7</w:t>
      </w:r>
      <w:proofErr w:type="gramEnd"/>
      <w:r w:rsidRPr="00C80762">
        <w:rPr>
          <w:rFonts w:ascii="Palatino Linotype" w:hAnsi="Palatino Linotype"/>
          <w:sz w:val="22"/>
          <w:szCs w:val="22"/>
        </w:rPr>
        <w:t xml:space="preserve">-21. </w:t>
      </w:r>
    </w:p>
  </w:endnote>
  <w:endnote w:id="93">
    <w:p w14:paraId="1E6063C1" w14:textId="1CFEF4CE"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Colpo GD, Leboyer M, Dantzer R, et al. Immune-based strategies for mood disorders: facts and challenges. Expert Rev </w:t>
      </w:r>
      <w:proofErr w:type="spellStart"/>
      <w:r w:rsidRPr="00C80762">
        <w:rPr>
          <w:rFonts w:ascii="Palatino Linotype" w:hAnsi="Palatino Linotype"/>
          <w:sz w:val="22"/>
          <w:szCs w:val="22"/>
        </w:rPr>
        <w:t>Neurother</w:t>
      </w:r>
      <w:proofErr w:type="spellEnd"/>
      <w:r w:rsidRPr="00C80762">
        <w:rPr>
          <w:rFonts w:ascii="Palatino Linotype" w:hAnsi="Palatino Linotype"/>
          <w:sz w:val="22"/>
          <w:szCs w:val="22"/>
        </w:rPr>
        <w:t xml:space="preserve"> 2018; 18:139–152. </w:t>
      </w:r>
    </w:p>
  </w:endnote>
  <w:endnote w:id="94">
    <w:p w14:paraId="57957A10" w14:textId="17F06B86"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Baune BT, Fromme SE. The role of immunomodulators in severe mental disorders: future perspectives. Curr </w:t>
      </w:r>
      <w:proofErr w:type="spellStart"/>
      <w:r w:rsidRPr="00C80762">
        <w:rPr>
          <w:rFonts w:ascii="Palatino Linotype" w:hAnsi="Palatino Linotype"/>
          <w:sz w:val="22"/>
          <w:szCs w:val="22"/>
        </w:rPr>
        <w:t>Opin</w:t>
      </w:r>
      <w:proofErr w:type="spellEnd"/>
      <w:r w:rsidRPr="00C80762">
        <w:rPr>
          <w:rFonts w:ascii="Palatino Linotype" w:hAnsi="Palatino Linotype"/>
          <w:sz w:val="22"/>
          <w:szCs w:val="22"/>
        </w:rPr>
        <w:t xml:space="preserve"> Psychiatry 2025; 38:41–47.</w:t>
      </w:r>
    </w:p>
  </w:endnote>
  <w:endnote w:id="95">
    <w:p w14:paraId="1B8144AD" w14:textId="77777777" w:rsidR="004A70CE" w:rsidRPr="00C80762" w:rsidRDefault="004A70CE" w:rsidP="00834472">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sz w:val="22"/>
          <w:szCs w:val="22"/>
          <w:shd w:val="clear" w:color="auto" w:fill="FFFFFF"/>
        </w:rPr>
        <w:t>Committee on the Assessment of Ongoing Efforts in the Treatment of Posttraumatic Stress Disorder; Board on the Health of Select Populations; Institute of Medicine. Treatment for Posttraumatic Stress Disorder in Military and Veteran Populations: Final Assessment. Washington (DC): National Academies Press (US); 2014 Jun 17. 2, Diagnosis, Course, and Prevalence of PTSD.</w:t>
      </w:r>
      <w:r w:rsidRPr="00C80762">
        <w:rPr>
          <w:rStyle w:val="bkciteavail"/>
          <w:rFonts w:ascii="Palatino Linotype" w:hAnsi="Palatino Linotype" w:cstheme="minorHAnsi"/>
          <w:sz w:val="22"/>
          <w:szCs w:val="22"/>
          <w:shd w:val="clear" w:color="auto" w:fill="FFFFFF"/>
        </w:rPr>
        <w:t> Available from: https://www.ncbi.nlm.nih.gov/books/NBK224874/</w:t>
      </w:r>
    </w:p>
  </w:endnote>
  <w:endnote w:id="96">
    <w:p w14:paraId="49346A80" w14:textId="77777777" w:rsidR="004A70CE" w:rsidRPr="00C80762" w:rsidRDefault="004A70CE" w:rsidP="00834472">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color w:val="212121"/>
          <w:sz w:val="22"/>
          <w:szCs w:val="22"/>
          <w:shd w:val="clear" w:color="auto" w:fill="FFFFFF"/>
        </w:rPr>
        <w:t xml:space="preserve">Zaretsky TG, </w:t>
      </w:r>
      <w:proofErr w:type="spellStart"/>
      <w:r w:rsidRPr="00C80762">
        <w:rPr>
          <w:rFonts w:ascii="Palatino Linotype" w:hAnsi="Palatino Linotype" w:cstheme="minorHAnsi"/>
          <w:color w:val="212121"/>
          <w:sz w:val="22"/>
          <w:szCs w:val="22"/>
          <w:shd w:val="clear" w:color="auto" w:fill="FFFFFF"/>
        </w:rPr>
        <w:t>Jagodnik</w:t>
      </w:r>
      <w:proofErr w:type="spellEnd"/>
      <w:r w:rsidRPr="00C80762">
        <w:rPr>
          <w:rFonts w:ascii="Palatino Linotype" w:hAnsi="Palatino Linotype" w:cstheme="minorHAnsi"/>
          <w:color w:val="212121"/>
          <w:sz w:val="22"/>
          <w:szCs w:val="22"/>
          <w:shd w:val="clear" w:color="auto" w:fill="FFFFFF"/>
        </w:rPr>
        <w:t xml:space="preserve"> KM, Barsic R, Antonio JH, Bonanno PA, MacLeod C, Pierce C, Carney H, Morrison MT, Saylor C, Danias G, Lepow L, Yehuda R. The Psychedelic Future of Post-Traumatic Stress Disorder Treatment. Curr </w:t>
      </w:r>
      <w:proofErr w:type="spellStart"/>
      <w:r w:rsidRPr="00C80762">
        <w:rPr>
          <w:rFonts w:ascii="Palatino Linotype" w:hAnsi="Palatino Linotype" w:cstheme="minorHAnsi"/>
          <w:color w:val="212121"/>
          <w:sz w:val="22"/>
          <w:szCs w:val="22"/>
          <w:shd w:val="clear" w:color="auto" w:fill="FFFFFF"/>
        </w:rPr>
        <w:t>Neuropharmacol</w:t>
      </w:r>
      <w:proofErr w:type="spellEnd"/>
      <w:r w:rsidRPr="00C80762">
        <w:rPr>
          <w:rFonts w:ascii="Palatino Linotype" w:hAnsi="Palatino Linotype" w:cstheme="minorHAnsi"/>
          <w:color w:val="212121"/>
          <w:sz w:val="22"/>
          <w:szCs w:val="22"/>
          <w:shd w:val="clear" w:color="auto" w:fill="FFFFFF"/>
        </w:rPr>
        <w:t>. 2024;22(4):636-735.</w:t>
      </w:r>
    </w:p>
  </w:endnote>
  <w:endnote w:id="97">
    <w:p w14:paraId="7AC76912" w14:textId="438F5EC5"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Yang L, Lu J, Zhao Z, Zhang Z, Yang W, Zhang G. Research Progress on Inflammation and Immune Dysregulation in PTSD. Brain </w:t>
      </w:r>
      <w:proofErr w:type="spellStart"/>
      <w:r w:rsidRPr="00C80762">
        <w:rPr>
          <w:rFonts w:ascii="Palatino Linotype" w:hAnsi="Palatino Linotype"/>
          <w:sz w:val="22"/>
          <w:szCs w:val="22"/>
        </w:rPr>
        <w:t>Behav</w:t>
      </w:r>
      <w:proofErr w:type="spellEnd"/>
      <w:r w:rsidRPr="00C80762">
        <w:rPr>
          <w:rFonts w:ascii="Palatino Linotype" w:hAnsi="Palatino Linotype"/>
          <w:sz w:val="22"/>
          <w:szCs w:val="22"/>
        </w:rPr>
        <w:t>. 2025 Jun;15(6</w:t>
      </w:r>
      <w:proofErr w:type="gramStart"/>
      <w:r w:rsidRPr="00C80762">
        <w:rPr>
          <w:rFonts w:ascii="Palatino Linotype" w:hAnsi="Palatino Linotype"/>
          <w:sz w:val="22"/>
          <w:szCs w:val="22"/>
        </w:rPr>
        <w:t>):e</w:t>
      </w:r>
      <w:proofErr w:type="gramEnd"/>
      <w:r w:rsidRPr="00C80762">
        <w:rPr>
          <w:rFonts w:ascii="Palatino Linotype" w:hAnsi="Palatino Linotype"/>
          <w:sz w:val="22"/>
          <w:szCs w:val="22"/>
        </w:rPr>
        <w:t>70633.</w:t>
      </w:r>
    </w:p>
  </w:endnote>
  <w:endnote w:id="98">
    <w:p w14:paraId="1F7D95E8" w14:textId="04A5E80B"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Marra, P. S., T. Seki, Y. Nishizawa, et al. 2024. “Genome-Wide DNA Methylation Analysis in Female Veterans </w:t>
      </w:r>
      <w:proofErr w:type="gramStart"/>
      <w:r w:rsidRPr="00C80762">
        <w:rPr>
          <w:rFonts w:ascii="Palatino Linotype" w:hAnsi="Palatino Linotype"/>
          <w:sz w:val="22"/>
          <w:szCs w:val="22"/>
        </w:rPr>
        <w:t>With</w:t>
      </w:r>
      <w:proofErr w:type="gramEnd"/>
      <w:r w:rsidRPr="00C80762">
        <w:rPr>
          <w:rFonts w:ascii="Palatino Linotype" w:hAnsi="Palatino Linotype"/>
          <w:sz w:val="22"/>
          <w:szCs w:val="22"/>
        </w:rPr>
        <w:t xml:space="preserve"> Military Sexual Trauma and Comorbid PTSD/MDD.” Journal of Affective Disorders 351: 624–630.</w:t>
      </w:r>
    </w:p>
  </w:endnote>
  <w:endnote w:id="99">
    <w:p w14:paraId="558ECAC1" w14:textId="3304A600"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Tanaka, M., F. Tóth, H. Polyák, Á. Szabó, Y. Mándi, and L. </w:t>
      </w:r>
      <w:proofErr w:type="spellStart"/>
      <w:r w:rsidRPr="00C80762">
        <w:rPr>
          <w:rFonts w:ascii="Palatino Linotype" w:hAnsi="Palatino Linotype"/>
          <w:sz w:val="22"/>
          <w:szCs w:val="22"/>
        </w:rPr>
        <w:t>Vécsei</w:t>
      </w:r>
      <w:proofErr w:type="spellEnd"/>
      <w:r w:rsidRPr="00C80762">
        <w:rPr>
          <w:rFonts w:ascii="Palatino Linotype" w:hAnsi="Palatino Linotype"/>
          <w:sz w:val="22"/>
          <w:szCs w:val="22"/>
        </w:rPr>
        <w:t>. 2021. “Immune Influencers in Action: Metabolites and Enzymes of the Tryptophan-Kynurenine Metabolic Pathway.” Biomedicines 9, no. 7: 734.</w:t>
      </w:r>
    </w:p>
  </w:endnote>
  <w:endnote w:id="100">
    <w:p w14:paraId="48FD581B" w14:textId="28D6BA28"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Malik, S., O. </w:t>
      </w:r>
      <w:proofErr w:type="spellStart"/>
      <w:r w:rsidRPr="00C80762">
        <w:rPr>
          <w:rFonts w:ascii="Palatino Linotype" w:hAnsi="Palatino Linotype"/>
          <w:sz w:val="22"/>
          <w:szCs w:val="22"/>
        </w:rPr>
        <w:t>Alnaji</w:t>
      </w:r>
      <w:proofErr w:type="spellEnd"/>
      <w:r w:rsidRPr="00C80762">
        <w:rPr>
          <w:rFonts w:ascii="Palatino Linotype" w:hAnsi="Palatino Linotype"/>
          <w:sz w:val="22"/>
          <w:szCs w:val="22"/>
        </w:rPr>
        <w:t xml:space="preserve">, M. Malik, T. Gambale, and M. P. Rathbone. 2022. “Correlation Between Mild Traumatic Brain Injury-Induced </w:t>
      </w:r>
      <w:proofErr w:type="spellStart"/>
      <w:r w:rsidRPr="00C80762">
        <w:rPr>
          <w:rFonts w:ascii="Palatino Linotype" w:hAnsi="Palatino Linotype"/>
          <w:sz w:val="22"/>
          <w:szCs w:val="22"/>
        </w:rPr>
        <w:t>Inflamma</w:t>
      </w:r>
      <w:proofErr w:type="spellEnd"/>
      <w:r w:rsidRPr="00C80762">
        <w:rPr>
          <w:rFonts w:ascii="Palatino Linotype" w:hAnsi="Palatino Linotype"/>
          <w:sz w:val="22"/>
          <w:szCs w:val="22"/>
        </w:rPr>
        <w:t xml:space="preserve"> tory Cytokines and Emotional Symptom Traits: A Systematic Review.” Brain Sciences 12, no. 1: 102.</w:t>
      </w:r>
    </w:p>
  </w:endnote>
  <w:endnote w:id="101">
    <w:p w14:paraId="2A643B45" w14:textId="10B29748"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Devoto C, </w:t>
      </w:r>
      <w:proofErr w:type="spellStart"/>
      <w:r w:rsidRPr="00C80762">
        <w:rPr>
          <w:rFonts w:ascii="Palatino Linotype" w:hAnsi="Palatino Linotype"/>
          <w:sz w:val="22"/>
          <w:szCs w:val="22"/>
        </w:rPr>
        <w:t>Arcurio</w:t>
      </w:r>
      <w:proofErr w:type="spellEnd"/>
      <w:r w:rsidRPr="00C80762">
        <w:rPr>
          <w:rFonts w:ascii="Palatino Linotype" w:hAnsi="Palatino Linotype"/>
          <w:sz w:val="22"/>
          <w:szCs w:val="22"/>
        </w:rPr>
        <w:t xml:space="preserve"> L, Fetta J, Ley M, Rodney T, Kanefsky R, Gill J. Inflammation Relates to Chronic Behavioral and Neurological Symptoms in Military Personnel with Traumatic Brain Injuries. Cell Transplant. 2017 Jul;26(7):1169-1177. </w:t>
      </w:r>
    </w:p>
  </w:endnote>
  <w:endnote w:id="102">
    <w:p w14:paraId="7D682DBA" w14:textId="2E626A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Postolache TT, Wadhawan A, Can A, Lowry CA, Woodbury M, Makkar H, Hoisington AJ, Scott AJ, Potocki E, </w:t>
      </w:r>
      <w:proofErr w:type="spellStart"/>
      <w:r w:rsidRPr="00C80762">
        <w:rPr>
          <w:rFonts w:ascii="Palatino Linotype" w:hAnsi="Palatino Linotype"/>
          <w:sz w:val="22"/>
          <w:szCs w:val="22"/>
        </w:rPr>
        <w:t>Benros</w:t>
      </w:r>
      <w:proofErr w:type="spellEnd"/>
      <w:r w:rsidRPr="00C80762">
        <w:rPr>
          <w:rFonts w:ascii="Palatino Linotype" w:hAnsi="Palatino Linotype"/>
          <w:sz w:val="22"/>
          <w:szCs w:val="22"/>
        </w:rPr>
        <w:t xml:space="preserve"> ME, Stiller JW. Inflammation in Traumatic Brain Injury. J </w:t>
      </w:r>
      <w:proofErr w:type="spellStart"/>
      <w:r w:rsidRPr="00C80762">
        <w:rPr>
          <w:rFonts w:ascii="Palatino Linotype" w:hAnsi="Palatino Linotype"/>
          <w:sz w:val="22"/>
          <w:szCs w:val="22"/>
        </w:rPr>
        <w:t>Alzheimers</w:t>
      </w:r>
      <w:proofErr w:type="spellEnd"/>
      <w:r w:rsidRPr="00C80762">
        <w:rPr>
          <w:rFonts w:ascii="Palatino Linotype" w:hAnsi="Palatino Linotype"/>
          <w:sz w:val="22"/>
          <w:szCs w:val="22"/>
        </w:rPr>
        <w:t xml:space="preserve"> Dis. 2020;74(1):1-28. </w:t>
      </w:r>
    </w:p>
  </w:endnote>
  <w:endnote w:id="103">
    <w:p w14:paraId="2FAB41BF" w14:textId="109B31BF"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Xiong Y, Mahmood A, Chopp M. Current understanding of neuroinflammation after traumatic brain injury and cell-based therapeutic opportunities. Chin J </w:t>
      </w:r>
      <w:proofErr w:type="spellStart"/>
      <w:r w:rsidRPr="00C80762">
        <w:rPr>
          <w:rFonts w:ascii="Palatino Linotype" w:hAnsi="Palatino Linotype"/>
          <w:sz w:val="22"/>
          <w:szCs w:val="22"/>
        </w:rPr>
        <w:t>Traumatol</w:t>
      </w:r>
      <w:proofErr w:type="spellEnd"/>
      <w:r w:rsidRPr="00C80762">
        <w:rPr>
          <w:rFonts w:ascii="Palatino Linotype" w:hAnsi="Palatino Linotype"/>
          <w:sz w:val="22"/>
          <w:szCs w:val="22"/>
        </w:rPr>
        <w:t xml:space="preserve">. 2018 Jun;21(3):137-151. </w:t>
      </w:r>
    </w:p>
  </w:endnote>
  <w:endnote w:id="104">
    <w:p w14:paraId="6B54D7CD"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r w:rsidRPr="00C80762">
        <w:rPr>
          <w:rFonts w:ascii="Palatino Linotype" w:hAnsi="Palatino Linotype" w:cstheme="minorHAnsi"/>
          <w:color w:val="212121"/>
          <w:sz w:val="22"/>
          <w:szCs w:val="22"/>
          <w:shd w:val="clear" w:color="auto" w:fill="FFFFFF"/>
        </w:rPr>
        <w:t>Li Y, Cao T, Ritzel RM, He J, Faden AI, Wu J. Dementia, Depression, and Associated Brain Inflammatory Mechanisms after Spinal Cord Injury. Cells. 2020 Jun 8;9(6):1420.</w:t>
      </w:r>
    </w:p>
  </w:endnote>
  <w:endnote w:id="105">
    <w:p w14:paraId="30E7D39A" w14:textId="77777777" w:rsidR="004A70CE" w:rsidRPr="00C80762" w:rsidRDefault="004A70CE" w:rsidP="00834472">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bookmarkStart w:id="0" w:name="_Hlk164922206"/>
      <w:proofErr w:type="spellStart"/>
      <w:r w:rsidRPr="00C80762">
        <w:rPr>
          <w:rFonts w:ascii="Palatino Linotype" w:hAnsi="Palatino Linotype" w:cstheme="minorHAnsi"/>
          <w:color w:val="212121"/>
          <w:sz w:val="22"/>
          <w:szCs w:val="22"/>
          <w:shd w:val="clear" w:color="auto" w:fill="FFFFFF"/>
        </w:rPr>
        <w:t>Profyris</w:t>
      </w:r>
      <w:proofErr w:type="spellEnd"/>
      <w:r w:rsidRPr="00C80762">
        <w:rPr>
          <w:rFonts w:ascii="Palatino Linotype" w:hAnsi="Palatino Linotype" w:cstheme="minorHAnsi"/>
          <w:color w:val="212121"/>
          <w:sz w:val="22"/>
          <w:szCs w:val="22"/>
          <w:shd w:val="clear" w:color="auto" w:fill="FFFFFF"/>
        </w:rPr>
        <w:t xml:space="preserve"> C, Cheema SS, Zang D, Azari MF, Boyle K, Petratos S. Degenerative and regenerative mechanisms governing spinal cord injury. </w:t>
      </w:r>
      <w:proofErr w:type="spellStart"/>
      <w:r w:rsidRPr="00C80762">
        <w:rPr>
          <w:rFonts w:ascii="Palatino Linotype" w:hAnsi="Palatino Linotype" w:cstheme="minorHAnsi"/>
          <w:color w:val="212121"/>
          <w:sz w:val="22"/>
          <w:szCs w:val="22"/>
          <w:shd w:val="clear" w:color="auto" w:fill="FFFFFF"/>
        </w:rPr>
        <w:t>Neurobiol</w:t>
      </w:r>
      <w:proofErr w:type="spellEnd"/>
      <w:r w:rsidRPr="00C80762">
        <w:rPr>
          <w:rFonts w:ascii="Palatino Linotype" w:hAnsi="Palatino Linotype" w:cstheme="minorHAnsi"/>
          <w:color w:val="212121"/>
          <w:sz w:val="22"/>
          <w:szCs w:val="22"/>
          <w:shd w:val="clear" w:color="auto" w:fill="FFFFFF"/>
        </w:rPr>
        <w:t xml:space="preserve"> Dis. 2004 Apr;15(3):415-</w:t>
      </w:r>
      <w:proofErr w:type="gramStart"/>
      <w:r w:rsidRPr="00C80762">
        <w:rPr>
          <w:rFonts w:ascii="Palatino Linotype" w:hAnsi="Palatino Linotype" w:cstheme="minorHAnsi"/>
          <w:color w:val="212121"/>
          <w:sz w:val="22"/>
          <w:szCs w:val="22"/>
          <w:shd w:val="clear" w:color="auto" w:fill="FFFFFF"/>
        </w:rPr>
        <w:t>36.</w:t>
      </w:r>
      <w:bookmarkEnd w:id="0"/>
      <w:r w:rsidRPr="00C80762">
        <w:rPr>
          <w:rFonts w:ascii="Palatino Linotype" w:hAnsi="Palatino Linotype" w:cstheme="minorHAnsi"/>
          <w:color w:val="212121"/>
          <w:sz w:val="22"/>
          <w:szCs w:val="22"/>
          <w:shd w:val="clear" w:color="auto" w:fill="FFFFFF"/>
        </w:rPr>
        <w:t>.</w:t>
      </w:r>
      <w:proofErr w:type="gramEnd"/>
    </w:p>
  </w:endnote>
  <w:endnote w:id="106">
    <w:p w14:paraId="48AD85CC" w14:textId="77777777" w:rsidR="004A70CE" w:rsidRPr="00C80762" w:rsidRDefault="004A70CE" w:rsidP="00834472">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color w:val="212121"/>
          <w:sz w:val="22"/>
          <w:szCs w:val="22"/>
          <w:shd w:val="clear" w:color="auto" w:fill="FFFFFF"/>
        </w:rPr>
        <w:t xml:space="preserve">Otis C, Marchand A, Courtois F. Risk factors for posttraumatic stress disorder in persons with spinal cord injury. Top Spinal Cord </w:t>
      </w:r>
      <w:proofErr w:type="spellStart"/>
      <w:r w:rsidRPr="00C80762">
        <w:rPr>
          <w:rFonts w:ascii="Palatino Linotype" w:hAnsi="Palatino Linotype" w:cstheme="minorHAnsi"/>
          <w:color w:val="212121"/>
          <w:sz w:val="22"/>
          <w:szCs w:val="22"/>
          <w:shd w:val="clear" w:color="auto" w:fill="FFFFFF"/>
        </w:rPr>
        <w:t>Inj</w:t>
      </w:r>
      <w:proofErr w:type="spellEnd"/>
      <w:r w:rsidRPr="00C80762">
        <w:rPr>
          <w:rFonts w:ascii="Palatino Linotype" w:hAnsi="Palatino Linotype" w:cstheme="minorHAnsi"/>
          <w:color w:val="212121"/>
          <w:sz w:val="22"/>
          <w:szCs w:val="22"/>
          <w:shd w:val="clear" w:color="auto" w:fill="FFFFFF"/>
        </w:rPr>
        <w:t xml:space="preserve"> </w:t>
      </w:r>
      <w:proofErr w:type="spellStart"/>
      <w:r w:rsidRPr="00C80762">
        <w:rPr>
          <w:rFonts w:ascii="Palatino Linotype" w:hAnsi="Palatino Linotype" w:cstheme="minorHAnsi"/>
          <w:color w:val="212121"/>
          <w:sz w:val="22"/>
          <w:szCs w:val="22"/>
          <w:shd w:val="clear" w:color="auto" w:fill="FFFFFF"/>
        </w:rPr>
        <w:t>Rehabil</w:t>
      </w:r>
      <w:proofErr w:type="spellEnd"/>
      <w:r w:rsidRPr="00C80762">
        <w:rPr>
          <w:rFonts w:ascii="Palatino Linotype" w:hAnsi="Palatino Linotype" w:cstheme="minorHAnsi"/>
          <w:color w:val="212121"/>
          <w:sz w:val="22"/>
          <w:szCs w:val="22"/>
          <w:shd w:val="clear" w:color="auto" w:fill="FFFFFF"/>
        </w:rPr>
        <w:t>. 2012 Summer;18(3):253-</w:t>
      </w:r>
      <w:proofErr w:type="gramStart"/>
      <w:r w:rsidRPr="00C80762">
        <w:rPr>
          <w:rFonts w:ascii="Palatino Linotype" w:hAnsi="Palatino Linotype" w:cstheme="minorHAnsi"/>
          <w:color w:val="212121"/>
          <w:sz w:val="22"/>
          <w:szCs w:val="22"/>
          <w:shd w:val="clear" w:color="auto" w:fill="FFFFFF"/>
        </w:rPr>
        <w:t>63..</w:t>
      </w:r>
      <w:proofErr w:type="gramEnd"/>
    </w:p>
  </w:endnote>
  <w:endnote w:id="107">
    <w:p w14:paraId="43F2CE8E" w14:textId="77777777" w:rsidR="004A70CE" w:rsidRPr="00C80762" w:rsidRDefault="004A70CE" w:rsidP="00834472">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color w:val="212121"/>
          <w:sz w:val="22"/>
          <w:szCs w:val="22"/>
          <w:shd w:val="clear" w:color="auto" w:fill="FFFFFF"/>
        </w:rPr>
        <w:t>Li Y, Cao T, Ritzel RM, He J, Faden AI, Wu J. Dementia, Depression, and Associated Brain Inflammatory Mechanisms after Spinal Cord Injury. Cells. 2020 Jun 8;9(6):1420.</w:t>
      </w:r>
    </w:p>
  </w:endnote>
  <w:endnote w:id="108">
    <w:p w14:paraId="54EB098F" w14:textId="77777777" w:rsidR="004A70CE" w:rsidRPr="00C80762" w:rsidRDefault="004A70CE" w:rsidP="00834472">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color w:val="212121"/>
          <w:sz w:val="22"/>
          <w:szCs w:val="22"/>
          <w:shd w:val="clear" w:color="auto" w:fill="FFFFFF"/>
        </w:rPr>
        <w:t xml:space="preserve">Sezer N, Akkuş S, Uğurlu FG. Chronic complications of spinal cord injury. World J </w:t>
      </w:r>
      <w:proofErr w:type="spellStart"/>
      <w:r w:rsidRPr="00C80762">
        <w:rPr>
          <w:rFonts w:ascii="Palatino Linotype" w:hAnsi="Palatino Linotype" w:cstheme="minorHAnsi"/>
          <w:color w:val="212121"/>
          <w:sz w:val="22"/>
          <w:szCs w:val="22"/>
          <w:shd w:val="clear" w:color="auto" w:fill="FFFFFF"/>
        </w:rPr>
        <w:t>Orthop</w:t>
      </w:r>
      <w:proofErr w:type="spellEnd"/>
      <w:r w:rsidRPr="00C80762">
        <w:rPr>
          <w:rFonts w:ascii="Palatino Linotype" w:hAnsi="Palatino Linotype" w:cstheme="minorHAnsi"/>
          <w:color w:val="212121"/>
          <w:sz w:val="22"/>
          <w:szCs w:val="22"/>
          <w:shd w:val="clear" w:color="auto" w:fill="FFFFFF"/>
        </w:rPr>
        <w:t>. 2015 Jan 18;6(1):24-33.</w:t>
      </w:r>
    </w:p>
  </w:endnote>
  <w:endnote w:id="109">
    <w:p w14:paraId="7E99CFA2"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cs="Segoe UI"/>
          <w:color w:val="212121"/>
          <w:sz w:val="22"/>
          <w:szCs w:val="22"/>
          <w:shd w:val="clear" w:color="auto" w:fill="FFFFFF"/>
        </w:rPr>
        <w:t>Zrzavy</w:t>
      </w:r>
      <w:proofErr w:type="spellEnd"/>
      <w:r w:rsidRPr="00C80762">
        <w:rPr>
          <w:rFonts w:ascii="Palatino Linotype" w:hAnsi="Palatino Linotype" w:cs="Segoe UI"/>
          <w:color w:val="212121"/>
          <w:sz w:val="22"/>
          <w:szCs w:val="22"/>
          <w:shd w:val="clear" w:color="auto" w:fill="FFFFFF"/>
        </w:rPr>
        <w:t xml:space="preserve"> T, Schwaiger C, Wimmer I, Berger T, Bauer J, </w:t>
      </w:r>
      <w:proofErr w:type="spellStart"/>
      <w:r w:rsidRPr="00C80762">
        <w:rPr>
          <w:rFonts w:ascii="Palatino Linotype" w:hAnsi="Palatino Linotype" w:cs="Segoe UI"/>
          <w:color w:val="212121"/>
          <w:sz w:val="22"/>
          <w:szCs w:val="22"/>
          <w:shd w:val="clear" w:color="auto" w:fill="FFFFFF"/>
        </w:rPr>
        <w:t>Butovsky</w:t>
      </w:r>
      <w:proofErr w:type="spellEnd"/>
      <w:r w:rsidRPr="00C80762">
        <w:rPr>
          <w:rFonts w:ascii="Palatino Linotype" w:hAnsi="Palatino Linotype" w:cs="Segoe UI"/>
          <w:color w:val="212121"/>
          <w:sz w:val="22"/>
          <w:szCs w:val="22"/>
          <w:shd w:val="clear" w:color="auto" w:fill="FFFFFF"/>
        </w:rPr>
        <w:t xml:space="preserve"> O, Schwab JM, </w:t>
      </w:r>
      <w:proofErr w:type="spellStart"/>
      <w:r w:rsidRPr="00C80762">
        <w:rPr>
          <w:rFonts w:ascii="Palatino Linotype" w:hAnsi="Palatino Linotype" w:cs="Segoe UI"/>
          <w:color w:val="212121"/>
          <w:sz w:val="22"/>
          <w:szCs w:val="22"/>
          <w:shd w:val="clear" w:color="auto" w:fill="FFFFFF"/>
        </w:rPr>
        <w:t>Lassmann</w:t>
      </w:r>
      <w:proofErr w:type="spellEnd"/>
      <w:r w:rsidRPr="00C80762">
        <w:rPr>
          <w:rFonts w:ascii="Palatino Linotype" w:hAnsi="Palatino Linotype" w:cs="Segoe UI"/>
          <w:color w:val="212121"/>
          <w:sz w:val="22"/>
          <w:szCs w:val="22"/>
          <w:shd w:val="clear" w:color="auto" w:fill="FFFFFF"/>
        </w:rPr>
        <w:t xml:space="preserve"> H, </w:t>
      </w:r>
      <w:proofErr w:type="spellStart"/>
      <w:r w:rsidRPr="00C80762">
        <w:rPr>
          <w:rFonts w:ascii="Palatino Linotype" w:hAnsi="Palatino Linotype" w:cs="Segoe UI"/>
          <w:color w:val="212121"/>
          <w:sz w:val="22"/>
          <w:szCs w:val="22"/>
          <w:shd w:val="clear" w:color="auto" w:fill="FFFFFF"/>
        </w:rPr>
        <w:t>Höftberger</w:t>
      </w:r>
      <w:proofErr w:type="spellEnd"/>
      <w:r w:rsidRPr="00C80762">
        <w:rPr>
          <w:rFonts w:ascii="Palatino Linotype" w:hAnsi="Palatino Linotype" w:cs="Segoe UI"/>
          <w:color w:val="212121"/>
          <w:sz w:val="22"/>
          <w:szCs w:val="22"/>
          <w:shd w:val="clear" w:color="auto" w:fill="FFFFFF"/>
        </w:rPr>
        <w:t xml:space="preserve"> R. Acute and non-resolving inflammation associate with oxidative injury after human spinal cord injury. Brain. 2021 Feb 12;144(1):144-161. </w:t>
      </w:r>
    </w:p>
  </w:endnote>
  <w:endnote w:id="110">
    <w:p w14:paraId="6DBF66B8"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r w:rsidRPr="00C80762">
        <w:rPr>
          <w:rFonts w:ascii="Palatino Linotype" w:hAnsi="Palatino Linotype" w:cs="Segoe UI"/>
          <w:color w:val="212121"/>
          <w:sz w:val="22"/>
          <w:szCs w:val="22"/>
          <w:shd w:val="clear" w:color="auto" w:fill="FFFFFF"/>
        </w:rPr>
        <w:t xml:space="preserve">Gris D, Marsh DR, Oatway MA, Chen Y, Hamilton EF, </w:t>
      </w:r>
      <w:proofErr w:type="spellStart"/>
      <w:r w:rsidRPr="00C80762">
        <w:rPr>
          <w:rFonts w:ascii="Palatino Linotype" w:hAnsi="Palatino Linotype" w:cs="Segoe UI"/>
          <w:color w:val="212121"/>
          <w:sz w:val="22"/>
          <w:szCs w:val="22"/>
          <w:shd w:val="clear" w:color="auto" w:fill="FFFFFF"/>
        </w:rPr>
        <w:t>Dekaban</w:t>
      </w:r>
      <w:proofErr w:type="spellEnd"/>
      <w:r w:rsidRPr="00C80762">
        <w:rPr>
          <w:rFonts w:ascii="Palatino Linotype" w:hAnsi="Palatino Linotype" w:cs="Segoe UI"/>
          <w:color w:val="212121"/>
          <w:sz w:val="22"/>
          <w:szCs w:val="22"/>
          <w:shd w:val="clear" w:color="auto" w:fill="FFFFFF"/>
        </w:rPr>
        <w:t xml:space="preserve"> GA, Weaver LC. Transient blockade of the CD11d/CD18 integrin reduces secondary damage after spinal cord injury, improving sensory, autonomic, and motor function. J </w:t>
      </w:r>
      <w:proofErr w:type="spellStart"/>
      <w:r w:rsidRPr="00C80762">
        <w:rPr>
          <w:rFonts w:ascii="Palatino Linotype" w:hAnsi="Palatino Linotype" w:cs="Segoe UI"/>
          <w:color w:val="212121"/>
          <w:sz w:val="22"/>
          <w:szCs w:val="22"/>
          <w:shd w:val="clear" w:color="auto" w:fill="FFFFFF"/>
        </w:rPr>
        <w:t>Neurosci</w:t>
      </w:r>
      <w:proofErr w:type="spellEnd"/>
      <w:r w:rsidRPr="00C80762">
        <w:rPr>
          <w:rFonts w:ascii="Palatino Linotype" w:hAnsi="Palatino Linotype" w:cs="Segoe UI"/>
          <w:color w:val="212121"/>
          <w:sz w:val="22"/>
          <w:szCs w:val="22"/>
          <w:shd w:val="clear" w:color="auto" w:fill="FFFFFF"/>
        </w:rPr>
        <w:t xml:space="preserve">. 2004 Apr 21;24(16):4043-51. </w:t>
      </w:r>
    </w:p>
  </w:endnote>
  <w:endnote w:id="111">
    <w:p w14:paraId="62D49E32" w14:textId="49D01706"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r w:rsidRPr="00C80762">
        <w:rPr>
          <w:rFonts w:ascii="Palatino Linotype" w:hAnsi="Palatino Linotype" w:cs="Segoe UI"/>
          <w:color w:val="212121"/>
          <w:sz w:val="22"/>
          <w:szCs w:val="22"/>
          <w:shd w:val="clear" w:color="auto" w:fill="FFFFFF"/>
        </w:rPr>
        <w:t xml:space="preserve">Taylor SS, Noor N, </w:t>
      </w:r>
      <w:proofErr w:type="spellStart"/>
      <w:r w:rsidRPr="00C80762">
        <w:rPr>
          <w:rFonts w:ascii="Palatino Linotype" w:hAnsi="Palatino Linotype" w:cs="Segoe UI"/>
          <w:color w:val="212121"/>
          <w:sz w:val="22"/>
          <w:szCs w:val="22"/>
          <w:shd w:val="clear" w:color="auto" w:fill="FFFFFF"/>
        </w:rPr>
        <w:t>Urits</w:t>
      </w:r>
      <w:proofErr w:type="spellEnd"/>
      <w:r w:rsidRPr="00C80762">
        <w:rPr>
          <w:rFonts w:ascii="Palatino Linotype" w:hAnsi="Palatino Linotype" w:cs="Segoe UI"/>
          <w:color w:val="212121"/>
          <w:sz w:val="22"/>
          <w:szCs w:val="22"/>
          <w:shd w:val="clear" w:color="auto" w:fill="FFFFFF"/>
        </w:rPr>
        <w:t xml:space="preserve"> I, Paladini A, Sadhu MS, Gibb C, Carlson T, </w:t>
      </w:r>
      <w:proofErr w:type="spellStart"/>
      <w:r w:rsidRPr="00C80762">
        <w:rPr>
          <w:rFonts w:ascii="Palatino Linotype" w:hAnsi="Palatino Linotype" w:cs="Segoe UI"/>
          <w:color w:val="212121"/>
          <w:sz w:val="22"/>
          <w:szCs w:val="22"/>
          <w:shd w:val="clear" w:color="auto" w:fill="FFFFFF"/>
        </w:rPr>
        <w:t>Myrcik</w:t>
      </w:r>
      <w:proofErr w:type="spellEnd"/>
      <w:r w:rsidRPr="00C80762">
        <w:rPr>
          <w:rFonts w:ascii="Palatino Linotype" w:hAnsi="Palatino Linotype" w:cs="Segoe UI"/>
          <w:color w:val="212121"/>
          <w:sz w:val="22"/>
          <w:szCs w:val="22"/>
          <w:shd w:val="clear" w:color="auto" w:fill="FFFFFF"/>
        </w:rPr>
        <w:t xml:space="preserve"> D, </w:t>
      </w:r>
      <w:proofErr w:type="spellStart"/>
      <w:r w:rsidRPr="00C80762">
        <w:rPr>
          <w:rFonts w:ascii="Palatino Linotype" w:hAnsi="Palatino Linotype" w:cs="Segoe UI"/>
          <w:color w:val="212121"/>
          <w:sz w:val="22"/>
          <w:szCs w:val="22"/>
          <w:shd w:val="clear" w:color="auto" w:fill="FFFFFF"/>
        </w:rPr>
        <w:t>Varrassi</w:t>
      </w:r>
      <w:proofErr w:type="spellEnd"/>
      <w:r w:rsidRPr="00C80762">
        <w:rPr>
          <w:rFonts w:ascii="Palatino Linotype" w:hAnsi="Palatino Linotype" w:cs="Segoe UI"/>
          <w:color w:val="212121"/>
          <w:sz w:val="22"/>
          <w:szCs w:val="22"/>
          <w:shd w:val="clear" w:color="auto" w:fill="FFFFFF"/>
        </w:rPr>
        <w:t xml:space="preserve"> G, Viswanath O. Complex Regional Pain Syndrome: A Comprehensive Review. Pain Ther. 2021 Dec;10(2):875-892. Erratum in: Pain Ther. 2021 Jul 26.</w:t>
      </w:r>
    </w:p>
  </w:endnote>
  <w:endnote w:id="112">
    <w:p w14:paraId="70907519" w14:textId="1965D59B" w:rsidR="004A70CE" w:rsidRPr="00C80762" w:rsidRDefault="004A70CE" w:rsidP="00834472">
      <w:pPr>
        <w:pStyle w:val="EndnoteText"/>
        <w:rPr>
          <w:rFonts w:ascii="Palatino Linotype" w:hAnsi="Palatino Linotype" w:cstheme="minorHAnsi"/>
          <w:noProof/>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noProof/>
          <w:sz w:val="22"/>
          <w:szCs w:val="22"/>
        </w:rPr>
        <w:t>Y. Zhou et al., "Hyperbaric Oxygen Improves Functional Recovery of the Injured Spinal Cord by Inhibiting Inflammation and Glial Scar Formation," American Journal of Physical Medicine &amp; Rehabilitation, vol. 98, no. 10, 2019. [Online]. Available: https://journals.lww.com/ajpmr/fulltext/2019/10000/hyperbaric_oxygen_improves_</w:t>
      </w:r>
    </w:p>
    <w:p w14:paraId="336BE5EE" w14:textId="4BBB6EA4" w:rsidR="004A70CE" w:rsidRPr="00C80762" w:rsidRDefault="004A70CE" w:rsidP="00834472">
      <w:pPr>
        <w:pStyle w:val="EndnoteText"/>
        <w:rPr>
          <w:rFonts w:ascii="Palatino Linotype" w:hAnsi="Palatino Linotype" w:cstheme="minorHAnsi"/>
          <w:sz w:val="22"/>
          <w:szCs w:val="22"/>
        </w:rPr>
      </w:pPr>
      <w:r w:rsidRPr="00C80762">
        <w:rPr>
          <w:rFonts w:ascii="Palatino Linotype" w:hAnsi="Palatino Linotype" w:cstheme="minorHAnsi"/>
          <w:noProof/>
          <w:sz w:val="22"/>
          <w:szCs w:val="22"/>
        </w:rPr>
        <w:t>functional_recovery_of.11.aspx.</w:t>
      </w:r>
    </w:p>
  </w:endnote>
  <w:endnote w:id="113">
    <w:p w14:paraId="4D60B8AC" w14:textId="77777777" w:rsidR="004A70CE" w:rsidRPr="00C80762" w:rsidRDefault="004A70CE" w:rsidP="00834472">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noProof/>
          <w:sz w:val="22"/>
          <w:szCs w:val="22"/>
        </w:rPr>
        <w:t>L. Sun et al., "Effect of hyperbaric oxygen therapy on HMGB1/NF-κB expression and prognosis of acute spinal cord injury: A randomized clinical trial," (in en), Neurosci Lett, 2019/01/23/ 2019.</w:t>
      </w:r>
    </w:p>
  </w:endnote>
  <w:endnote w:id="114">
    <w:p w14:paraId="129976D4" w14:textId="0CEE3466"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noProof/>
          <w:sz w:val="22"/>
          <w:szCs w:val="22"/>
        </w:rPr>
        <w:t>M. D. Sunshine et al., "Oxygen therapy attenuates neuroinflammation after spinal cord injury," (in en), J Neuroinflammation, 2023/12/19/ 2023</w:t>
      </w:r>
      <w:r w:rsidR="00C62E3F" w:rsidRPr="00C80762">
        <w:rPr>
          <w:rFonts w:ascii="Palatino Linotype" w:hAnsi="Palatino Linotype" w:cstheme="minorHAnsi"/>
          <w:noProof/>
          <w:sz w:val="22"/>
          <w:szCs w:val="22"/>
        </w:rPr>
        <w:t>.</w:t>
      </w:r>
    </w:p>
  </w:endnote>
  <w:endnote w:id="115">
    <w:p w14:paraId="23D54345"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Harrison-Felix, Cynthia PhD; Sevigny, Mitch MS; Beaulieu, Cynthia L. PhD; Callender, Librada MPH; Dams-O'Connor, Kristen PhD; Hammond, Flora M. MD; Hanks, Robin PhD; Ketchum, Jessica M. PhD; Martin, Aaron M. PhD; Marwitz, Jennifer H. MA; Peckham, Mackenzie BS; Rabinowitz, Amanda R. PhD; Sander, Angelle M. PhD; Sterling, Ally </w:t>
      </w:r>
      <w:proofErr w:type="spellStart"/>
      <w:r w:rsidRPr="00C80762">
        <w:rPr>
          <w:rFonts w:ascii="Palatino Linotype" w:hAnsi="Palatino Linotype"/>
          <w:sz w:val="22"/>
          <w:szCs w:val="22"/>
        </w:rPr>
        <w:t>ScM</w:t>
      </w:r>
      <w:proofErr w:type="spellEnd"/>
      <w:r w:rsidRPr="00C80762">
        <w:rPr>
          <w:rFonts w:ascii="Palatino Linotype" w:hAnsi="Palatino Linotype"/>
          <w:sz w:val="22"/>
          <w:szCs w:val="22"/>
        </w:rPr>
        <w:t xml:space="preserve">, MBE; Walker, William C. MD; Nakase-Richardson, Risa PhD; Hoffman, Jeanne M. PhD. Characterization and Treatment of Chronic Pain After Traumatic Brain Injury—Comparison of Characteristics Between Individuals </w:t>
      </w:r>
      <w:proofErr w:type="gramStart"/>
      <w:r w:rsidRPr="00C80762">
        <w:rPr>
          <w:rFonts w:ascii="Palatino Linotype" w:hAnsi="Palatino Linotype"/>
          <w:sz w:val="22"/>
          <w:szCs w:val="22"/>
        </w:rPr>
        <w:t>With</w:t>
      </w:r>
      <w:proofErr w:type="gramEnd"/>
      <w:r w:rsidRPr="00C80762">
        <w:rPr>
          <w:rFonts w:ascii="Palatino Linotype" w:hAnsi="Palatino Linotype"/>
          <w:sz w:val="22"/>
          <w:szCs w:val="22"/>
        </w:rPr>
        <w:t xml:space="preserve"> Current Pain, Past Pain, and No Pain: A NIDILRR and VA TBI Model Systems Collaborative Project. Journal of Head Trauma Rehabilitation 39(1</w:t>
      </w:r>
      <w:proofErr w:type="gramStart"/>
      <w:r w:rsidRPr="00C80762">
        <w:rPr>
          <w:rFonts w:ascii="Palatino Linotype" w:hAnsi="Palatino Linotype"/>
          <w:sz w:val="22"/>
          <w:szCs w:val="22"/>
        </w:rPr>
        <w:t>):p</w:t>
      </w:r>
      <w:proofErr w:type="gramEnd"/>
      <w:r w:rsidRPr="00C80762">
        <w:rPr>
          <w:rFonts w:ascii="Palatino Linotype" w:hAnsi="Palatino Linotype"/>
          <w:sz w:val="22"/>
          <w:szCs w:val="22"/>
        </w:rPr>
        <w:t xml:space="preserve"> 5-17, January/February 2024. </w:t>
      </w:r>
    </w:p>
  </w:endnote>
  <w:endnote w:id="116">
    <w:p w14:paraId="47827087"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Baastrup C, Finnerup N. Pharmacological management of neuropathic pain following spinal cord injury. CNS Drugs. 2008; 22(6):455–475.</w:t>
      </w:r>
    </w:p>
  </w:endnote>
  <w:endnote w:id="117">
    <w:p w14:paraId="7223C94D" w14:textId="736AE783"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Mariano AJ. Chronic pain and spinal cord injury. Clin J Pain. 1992 Jun;8(2):87-92. </w:t>
      </w:r>
    </w:p>
  </w:endnote>
  <w:endnote w:id="118">
    <w:p w14:paraId="0D8C82A7" w14:textId="292130C4"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Zhu ZC, Han XJ, He Z, Liu MY, Wu N, Tong XM, Li F. Neuropeptide S pathway in PTSD and neuropsychiatric disorders: A review. </w:t>
      </w:r>
      <w:proofErr w:type="spellStart"/>
      <w:r w:rsidRPr="00C80762">
        <w:rPr>
          <w:rFonts w:ascii="Palatino Linotype" w:hAnsi="Palatino Linotype"/>
          <w:sz w:val="22"/>
          <w:szCs w:val="22"/>
        </w:rPr>
        <w:t>Biomol</w:t>
      </w:r>
      <w:proofErr w:type="spellEnd"/>
      <w:r w:rsidRPr="00C80762">
        <w:rPr>
          <w:rFonts w:ascii="Palatino Linotype" w:hAnsi="Palatino Linotype"/>
          <w:sz w:val="22"/>
          <w:szCs w:val="22"/>
        </w:rPr>
        <w:t xml:space="preserve"> Biomed. 2025 Aug 4. </w:t>
      </w:r>
    </w:p>
  </w:endnote>
  <w:endnote w:id="119">
    <w:p w14:paraId="293E97DE" w14:textId="67408FB6"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Yildiz S, </w:t>
      </w:r>
      <w:proofErr w:type="spellStart"/>
      <w:r w:rsidRPr="00C80762">
        <w:rPr>
          <w:rFonts w:ascii="Palatino Linotype" w:hAnsi="Palatino Linotype"/>
          <w:sz w:val="22"/>
          <w:szCs w:val="22"/>
        </w:rPr>
        <w:t>Kiralp</w:t>
      </w:r>
      <w:proofErr w:type="spellEnd"/>
      <w:r w:rsidRPr="00C80762">
        <w:rPr>
          <w:rFonts w:ascii="Palatino Linotype" w:hAnsi="Palatino Linotype"/>
          <w:sz w:val="22"/>
          <w:szCs w:val="22"/>
        </w:rPr>
        <w:t xml:space="preserve"> MZ, Akin A, Keskin I, Ay H, Dursun H, </w:t>
      </w:r>
      <w:proofErr w:type="spellStart"/>
      <w:r w:rsidRPr="00C80762">
        <w:rPr>
          <w:rFonts w:ascii="Palatino Linotype" w:hAnsi="Palatino Linotype"/>
          <w:sz w:val="22"/>
          <w:szCs w:val="22"/>
        </w:rPr>
        <w:t>Cimsit</w:t>
      </w:r>
      <w:proofErr w:type="spellEnd"/>
      <w:r w:rsidRPr="00C80762">
        <w:rPr>
          <w:rFonts w:ascii="Palatino Linotype" w:hAnsi="Palatino Linotype"/>
          <w:sz w:val="22"/>
          <w:szCs w:val="22"/>
        </w:rPr>
        <w:t xml:space="preserve"> M. A new treatment modality for fibromyalgia syndrome: hyperbaric oxygen therapy. J Int Med Res. 2004 May-Jun;32(3):263-7. </w:t>
      </w:r>
    </w:p>
  </w:endnote>
  <w:endnote w:id="120">
    <w:p w14:paraId="4F58FB12"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Yildiz S, </w:t>
      </w:r>
      <w:proofErr w:type="spellStart"/>
      <w:r w:rsidRPr="00C80762">
        <w:rPr>
          <w:rFonts w:ascii="Palatino Linotype" w:hAnsi="Palatino Linotype"/>
          <w:sz w:val="22"/>
          <w:szCs w:val="22"/>
        </w:rPr>
        <w:t>Kiralp</w:t>
      </w:r>
      <w:proofErr w:type="spellEnd"/>
      <w:r w:rsidRPr="00C80762">
        <w:rPr>
          <w:rFonts w:ascii="Palatino Linotype" w:hAnsi="Palatino Linotype"/>
          <w:sz w:val="22"/>
          <w:szCs w:val="22"/>
        </w:rPr>
        <w:t xml:space="preserve"> MZ, Akin A, Keskin I, Ay H, Dursun H, </w:t>
      </w:r>
      <w:proofErr w:type="spellStart"/>
      <w:r w:rsidRPr="00C80762">
        <w:rPr>
          <w:rFonts w:ascii="Palatino Linotype" w:hAnsi="Palatino Linotype"/>
          <w:sz w:val="22"/>
          <w:szCs w:val="22"/>
        </w:rPr>
        <w:t>Cimsit</w:t>
      </w:r>
      <w:proofErr w:type="spellEnd"/>
      <w:r w:rsidRPr="00C80762">
        <w:rPr>
          <w:rFonts w:ascii="Palatino Linotype" w:hAnsi="Palatino Linotype"/>
          <w:sz w:val="22"/>
          <w:szCs w:val="22"/>
        </w:rPr>
        <w:t xml:space="preserve"> M. A new treatment modality for fibromyalgia syndrome: hyperbaric oxygen therapy. J Int Med Res. 2004 May-Jun;32(3):263-7.</w:t>
      </w:r>
    </w:p>
  </w:endnote>
  <w:endnote w:id="121">
    <w:p w14:paraId="23A4D12F"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Efrati S, Golan H, </w:t>
      </w:r>
      <w:proofErr w:type="spellStart"/>
      <w:r w:rsidRPr="00C80762">
        <w:rPr>
          <w:rFonts w:ascii="Palatino Linotype" w:hAnsi="Palatino Linotype"/>
          <w:sz w:val="22"/>
          <w:szCs w:val="22"/>
        </w:rPr>
        <w:t>Bechor</w:t>
      </w:r>
      <w:proofErr w:type="spellEnd"/>
      <w:r w:rsidRPr="00C80762">
        <w:rPr>
          <w:rFonts w:ascii="Palatino Linotype" w:hAnsi="Palatino Linotype"/>
          <w:sz w:val="22"/>
          <w:szCs w:val="22"/>
        </w:rPr>
        <w:t xml:space="preserve"> Y, Faran Y, Daphna-Tekoah S, Sekler G, </w:t>
      </w:r>
      <w:proofErr w:type="spellStart"/>
      <w:r w:rsidRPr="00C80762">
        <w:rPr>
          <w:rFonts w:ascii="Palatino Linotype" w:hAnsi="Palatino Linotype"/>
          <w:sz w:val="22"/>
          <w:szCs w:val="22"/>
        </w:rPr>
        <w:t>Fishlev</w:t>
      </w:r>
      <w:proofErr w:type="spellEnd"/>
      <w:r w:rsidRPr="00C80762">
        <w:rPr>
          <w:rFonts w:ascii="Palatino Linotype" w:hAnsi="Palatino Linotype"/>
          <w:sz w:val="22"/>
          <w:szCs w:val="22"/>
        </w:rPr>
        <w:t xml:space="preserve"> G, Ablin JN, Bergan J, Volkov O, Friedman M, Ben-Jacob E, </w:t>
      </w:r>
      <w:proofErr w:type="spellStart"/>
      <w:r w:rsidRPr="00C80762">
        <w:rPr>
          <w:rFonts w:ascii="Palatino Linotype" w:hAnsi="Palatino Linotype"/>
          <w:sz w:val="22"/>
          <w:szCs w:val="22"/>
        </w:rPr>
        <w:t>Buskila</w:t>
      </w:r>
      <w:proofErr w:type="spellEnd"/>
      <w:r w:rsidRPr="00C80762">
        <w:rPr>
          <w:rFonts w:ascii="Palatino Linotype" w:hAnsi="Palatino Linotype"/>
          <w:sz w:val="22"/>
          <w:szCs w:val="22"/>
        </w:rPr>
        <w:t xml:space="preserve"> D. Hyperbaric oxygen therapy can diminish fibromyalgia syndrome--prospective clinical trial. </w:t>
      </w:r>
      <w:proofErr w:type="spellStart"/>
      <w:r w:rsidRPr="00C80762">
        <w:rPr>
          <w:rFonts w:ascii="Palatino Linotype" w:hAnsi="Palatino Linotype"/>
          <w:sz w:val="22"/>
          <w:szCs w:val="22"/>
        </w:rPr>
        <w:t>PLoS</w:t>
      </w:r>
      <w:proofErr w:type="spellEnd"/>
      <w:r w:rsidRPr="00C80762">
        <w:rPr>
          <w:rFonts w:ascii="Palatino Linotype" w:hAnsi="Palatino Linotype"/>
          <w:sz w:val="22"/>
          <w:szCs w:val="22"/>
        </w:rPr>
        <w:t xml:space="preserve"> One. 2015 May 26;10(5</w:t>
      </w:r>
      <w:proofErr w:type="gramStart"/>
      <w:r w:rsidRPr="00C80762">
        <w:rPr>
          <w:rFonts w:ascii="Palatino Linotype" w:hAnsi="Palatino Linotype"/>
          <w:sz w:val="22"/>
          <w:szCs w:val="22"/>
        </w:rPr>
        <w:t>):e</w:t>
      </w:r>
      <w:proofErr w:type="gramEnd"/>
      <w:r w:rsidRPr="00C80762">
        <w:rPr>
          <w:rFonts w:ascii="Palatino Linotype" w:hAnsi="Palatino Linotype"/>
          <w:sz w:val="22"/>
          <w:szCs w:val="22"/>
        </w:rPr>
        <w:t>0127012.</w:t>
      </w:r>
    </w:p>
  </w:endnote>
  <w:endnote w:id="122">
    <w:p w14:paraId="2A3155F2"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sz w:val="22"/>
          <w:szCs w:val="22"/>
        </w:rPr>
        <w:t>Kiralp</w:t>
      </w:r>
      <w:proofErr w:type="spellEnd"/>
      <w:r w:rsidRPr="00C80762">
        <w:rPr>
          <w:rFonts w:ascii="Palatino Linotype" w:hAnsi="Palatino Linotype"/>
          <w:sz w:val="22"/>
          <w:szCs w:val="22"/>
        </w:rPr>
        <w:t xml:space="preserve"> MZ, Yildiz S, Vural D, Keskin I, Ay H, Dursun H. Effectiveness of hyperbaric oxygen therapy in the treatment of complex regional pain syndrome. J Int Med Res. 2004 May-Jun;32(3):258-62.</w:t>
      </w:r>
    </w:p>
  </w:endnote>
  <w:endnote w:id="123">
    <w:p w14:paraId="41BAEBDF"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sz w:val="22"/>
          <w:szCs w:val="22"/>
        </w:rPr>
        <w:t>Kiralp</w:t>
      </w:r>
      <w:proofErr w:type="spellEnd"/>
      <w:r w:rsidRPr="00C80762">
        <w:rPr>
          <w:rFonts w:ascii="Palatino Linotype" w:hAnsi="Palatino Linotype"/>
          <w:sz w:val="22"/>
          <w:szCs w:val="22"/>
        </w:rPr>
        <w:t xml:space="preserve"> MZ, Uzun G, Dinçer O, Sen A, Yildiz S, Tekin L, Dursun H. A novel treatment modality for myofascial pain syndrome: hyperbaric oxygen therapy. J Natl Med Assoc. 2009 Jan;101(1):77-80.</w:t>
      </w:r>
    </w:p>
  </w:endnote>
  <w:endnote w:id="124">
    <w:p w14:paraId="7BCF0A45"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r w:rsidRPr="00C80762">
        <w:rPr>
          <w:rFonts w:ascii="Palatino Linotype" w:hAnsi="Palatino Linotype" w:cstheme="minorHAnsi"/>
          <w:color w:val="212121"/>
          <w:sz w:val="22"/>
          <w:szCs w:val="22"/>
          <w:shd w:val="clear" w:color="auto" w:fill="FFFFFF"/>
        </w:rPr>
        <w:t>Sun L, Zhao L, Li P, Liu X, Liang F, Jiang Y, Kang N, Gao C, Yang J. Effect of hyperbaric oxygen therapy on HMGB1/NF-</w:t>
      </w:r>
      <w:proofErr w:type="spellStart"/>
      <w:r w:rsidRPr="00C80762">
        <w:rPr>
          <w:rFonts w:ascii="Palatino Linotype" w:hAnsi="Palatino Linotype" w:cstheme="minorHAnsi"/>
          <w:color w:val="212121"/>
          <w:sz w:val="22"/>
          <w:szCs w:val="22"/>
          <w:shd w:val="clear" w:color="auto" w:fill="FFFFFF"/>
        </w:rPr>
        <w:t>κB</w:t>
      </w:r>
      <w:proofErr w:type="spellEnd"/>
      <w:r w:rsidRPr="00C80762">
        <w:rPr>
          <w:rFonts w:ascii="Palatino Linotype" w:hAnsi="Palatino Linotype" w:cstheme="minorHAnsi"/>
          <w:color w:val="212121"/>
          <w:sz w:val="22"/>
          <w:szCs w:val="22"/>
          <w:shd w:val="clear" w:color="auto" w:fill="FFFFFF"/>
        </w:rPr>
        <w:t xml:space="preserve"> expression and prognosis of acute spinal cord injury: A randomized clinical trial. </w:t>
      </w:r>
      <w:proofErr w:type="spellStart"/>
      <w:r w:rsidRPr="00C80762">
        <w:rPr>
          <w:rFonts w:ascii="Palatino Linotype" w:hAnsi="Palatino Linotype" w:cstheme="minorHAnsi"/>
          <w:color w:val="212121"/>
          <w:sz w:val="22"/>
          <w:szCs w:val="22"/>
          <w:shd w:val="clear" w:color="auto" w:fill="FFFFFF"/>
        </w:rPr>
        <w:t>Neurosci</w:t>
      </w:r>
      <w:proofErr w:type="spellEnd"/>
      <w:r w:rsidRPr="00C80762">
        <w:rPr>
          <w:rFonts w:ascii="Palatino Linotype" w:hAnsi="Palatino Linotype" w:cstheme="minorHAnsi"/>
          <w:color w:val="212121"/>
          <w:sz w:val="22"/>
          <w:szCs w:val="22"/>
          <w:shd w:val="clear" w:color="auto" w:fill="FFFFFF"/>
        </w:rPr>
        <w:t xml:space="preserve"> Lett. 2019 Jan </w:t>
      </w:r>
      <w:proofErr w:type="gramStart"/>
      <w:r w:rsidRPr="00C80762">
        <w:rPr>
          <w:rFonts w:ascii="Palatino Linotype" w:hAnsi="Palatino Linotype" w:cstheme="minorHAnsi"/>
          <w:color w:val="212121"/>
          <w:sz w:val="22"/>
          <w:szCs w:val="22"/>
          <w:shd w:val="clear" w:color="auto" w:fill="FFFFFF"/>
        </w:rPr>
        <w:t>23;692:47</w:t>
      </w:r>
      <w:proofErr w:type="gramEnd"/>
      <w:r w:rsidRPr="00C80762">
        <w:rPr>
          <w:rFonts w:ascii="Palatino Linotype" w:hAnsi="Palatino Linotype" w:cstheme="minorHAnsi"/>
          <w:color w:val="212121"/>
          <w:sz w:val="22"/>
          <w:szCs w:val="22"/>
          <w:shd w:val="clear" w:color="auto" w:fill="FFFFFF"/>
        </w:rPr>
        <w:t>-52.</w:t>
      </w:r>
    </w:p>
  </w:endnote>
  <w:endnote w:id="125">
    <w:p w14:paraId="50C9F047"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Wilson M, Odom-Maryon T, Stanek K, Roush T, Muriungi J, Jesse A, Quock RM, Layton M. Hyperbaric Oxygen to Assist Adults </w:t>
      </w:r>
      <w:proofErr w:type="gramStart"/>
      <w:r w:rsidRPr="00C80762">
        <w:rPr>
          <w:rFonts w:ascii="Palatino Linotype" w:hAnsi="Palatino Linotype"/>
          <w:sz w:val="22"/>
          <w:szCs w:val="22"/>
        </w:rPr>
        <w:t>With</w:t>
      </w:r>
      <w:proofErr w:type="gramEnd"/>
      <w:r w:rsidRPr="00C80762">
        <w:rPr>
          <w:rFonts w:ascii="Palatino Linotype" w:hAnsi="Palatino Linotype"/>
          <w:sz w:val="22"/>
          <w:szCs w:val="22"/>
        </w:rPr>
        <w:t xml:space="preserve"> Opioid Use Disorder in Reducing Methadone Dose. J Addict </w:t>
      </w:r>
      <w:proofErr w:type="spellStart"/>
      <w:r w:rsidRPr="00C80762">
        <w:rPr>
          <w:rFonts w:ascii="Palatino Linotype" w:hAnsi="Palatino Linotype"/>
          <w:sz w:val="22"/>
          <w:szCs w:val="22"/>
        </w:rPr>
        <w:t>Nurs</w:t>
      </w:r>
      <w:proofErr w:type="spellEnd"/>
      <w:r w:rsidRPr="00C80762">
        <w:rPr>
          <w:rFonts w:ascii="Palatino Linotype" w:hAnsi="Palatino Linotype"/>
          <w:sz w:val="22"/>
          <w:szCs w:val="22"/>
        </w:rPr>
        <w:t>. 2022 Jan-Apr 01;33(1):27-36.</w:t>
      </w:r>
    </w:p>
  </w:endnote>
  <w:endnote w:id="126">
    <w:p w14:paraId="6E13AD54"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Wilson M, </w:t>
      </w:r>
      <w:proofErr w:type="spellStart"/>
      <w:r w:rsidRPr="00C80762">
        <w:rPr>
          <w:rFonts w:ascii="Palatino Linotype" w:hAnsi="Palatino Linotype"/>
          <w:sz w:val="22"/>
          <w:szCs w:val="22"/>
        </w:rPr>
        <w:t>Bindler</w:t>
      </w:r>
      <w:proofErr w:type="spellEnd"/>
      <w:r w:rsidRPr="00C80762">
        <w:rPr>
          <w:rFonts w:ascii="Palatino Linotype" w:hAnsi="Palatino Linotype"/>
          <w:sz w:val="22"/>
          <w:szCs w:val="22"/>
        </w:rPr>
        <w:t xml:space="preserve"> RJ, Stanek K, Layton ME, Quock RM. Hyperbaric Oxygen Therapy for Pain, Opioid Withdrawal, and Related Symptoms: A Pilot Randomized Controlled Trial. Pain Manag </w:t>
      </w:r>
      <w:proofErr w:type="spellStart"/>
      <w:r w:rsidRPr="00C80762">
        <w:rPr>
          <w:rFonts w:ascii="Palatino Linotype" w:hAnsi="Palatino Linotype"/>
          <w:sz w:val="22"/>
          <w:szCs w:val="22"/>
        </w:rPr>
        <w:t>Nurs</w:t>
      </w:r>
      <w:proofErr w:type="spellEnd"/>
      <w:r w:rsidRPr="00C80762">
        <w:rPr>
          <w:rFonts w:ascii="Palatino Linotype" w:hAnsi="Palatino Linotype"/>
          <w:sz w:val="22"/>
          <w:szCs w:val="22"/>
        </w:rPr>
        <w:t>. 2022 Oct;23(5):616-624.</w:t>
      </w:r>
    </w:p>
  </w:endnote>
  <w:endnote w:id="127">
    <w:p w14:paraId="6154DCDD"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Tuter NV, Danilov AB, Poliakova LV. </w:t>
      </w:r>
      <w:proofErr w:type="spellStart"/>
      <w:r w:rsidRPr="00C80762">
        <w:rPr>
          <w:rFonts w:ascii="Palatino Linotype" w:hAnsi="Palatino Linotype"/>
          <w:sz w:val="22"/>
          <w:szCs w:val="22"/>
        </w:rPr>
        <w:t>Lechenie</w:t>
      </w:r>
      <w:proofErr w:type="spellEnd"/>
      <w:r w:rsidRPr="00C80762">
        <w:rPr>
          <w:rFonts w:ascii="Palatino Linotype" w:hAnsi="Palatino Linotype"/>
          <w:sz w:val="22"/>
          <w:szCs w:val="22"/>
        </w:rPr>
        <w:t xml:space="preserve"> </w:t>
      </w:r>
      <w:proofErr w:type="spellStart"/>
      <w:r w:rsidRPr="00C80762">
        <w:rPr>
          <w:rFonts w:ascii="Palatino Linotype" w:hAnsi="Palatino Linotype"/>
          <w:sz w:val="22"/>
          <w:szCs w:val="22"/>
        </w:rPr>
        <w:t>kompleksnogo</w:t>
      </w:r>
      <w:proofErr w:type="spellEnd"/>
      <w:r w:rsidRPr="00C80762">
        <w:rPr>
          <w:rFonts w:ascii="Palatino Linotype" w:hAnsi="Palatino Linotype"/>
          <w:sz w:val="22"/>
          <w:szCs w:val="22"/>
        </w:rPr>
        <w:t xml:space="preserve"> </w:t>
      </w:r>
      <w:proofErr w:type="spellStart"/>
      <w:r w:rsidRPr="00C80762">
        <w:rPr>
          <w:rFonts w:ascii="Palatino Linotype" w:hAnsi="Palatino Linotype"/>
          <w:sz w:val="22"/>
          <w:szCs w:val="22"/>
        </w:rPr>
        <w:t>regionarnogo</w:t>
      </w:r>
      <w:proofErr w:type="spellEnd"/>
      <w:r w:rsidRPr="00C80762">
        <w:rPr>
          <w:rFonts w:ascii="Palatino Linotype" w:hAnsi="Palatino Linotype"/>
          <w:sz w:val="22"/>
          <w:szCs w:val="22"/>
        </w:rPr>
        <w:t xml:space="preserve"> </w:t>
      </w:r>
      <w:proofErr w:type="spellStart"/>
      <w:r w:rsidRPr="00C80762">
        <w:rPr>
          <w:rFonts w:ascii="Palatino Linotype" w:hAnsi="Palatino Linotype"/>
          <w:sz w:val="22"/>
          <w:szCs w:val="22"/>
        </w:rPr>
        <w:t>bolevogo</w:t>
      </w:r>
      <w:proofErr w:type="spellEnd"/>
      <w:r w:rsidRPr="00C80762">
        <w:rPr>
          <w:rFonts w:ascii="Palatino Linotype" w:hAnsi="Palatino Linotype"/>
          <w:sz w:val="22"/>
          <w:szCs w:val="22"/>
        </w:rPr>
        <w:t xml:space="preserve"> </w:t>
      </w:r>
      <w:proofErr w:type="spellStart"/>
      <w:r w:rsidRPr="00C80762">
        <w:rPr>
          <w:rFonts w:ascii="Palatino Linotype" w:hAnsi="Palatino Linotype"/>
          <w:sz w:val="22"/>
          <w:szCs w:val="22"/>
        </w:rPr>
        <w:t>sindroma</w:t>
      </w:r>
      <w:proofErr w:type="spellEnd"/>
      <w:r w:rsidRPr="00C80762">
        <w:rPr>
          <w:rFonts w:ascii="Palatino Linotype" w:hAnsi="Palatino Linotype"/>
          <w:sz w:val="22"/>
          <w:szCs w:val="22"/>
        </w:rPr>
        <w:t xml:space="preserve"> [The treatment of a complex regional pain syndrome]. </w:t>
      </w:r>
      <w:proofErr w:type="spellStart"/>
      <w:r w:rsidRPr="00C80762">
        <w:rPr>
          <w:rFonts w:ascii="Palatino Linotype" w:hAnsi="Palatino Linotype"/>
          <w:sz w:val="22"/>
          <w:szCs w:val="22"/>
        </w:rPr>
        <w:t>Zh</w:t>
      </w:r>
      <w:proofErr w:type="spellEnd"/>
      <w:r w:rsidRPr="00C80762">
        <w:rPr>
          <w:rFonts w:ascii="Palatino Linotype" w:hAnsi="Palatino Linotype"/>
          <w:sz w:val="22"/>
          <w:szCs w:val="22"/>
        </w:rPr>
        <w:t xml:space="preserve"> </w:t>
      </w:r>
      <w:proofErr w:type="spellStart"/>
      <w:r w:rsidRPr="00C80762">
        <w:rPr>
          <w:rFonts w:ascii="Palatino Linotype" w:hAnsi="Palatino Linotype"/>
          <w:sz w:val="22"/>
          <w:szCs w:val="22"/>
        </w:rPr>
        <w:t>Nevrol</w:t>
      </w:r>
      <w:proofErr w:type="spellEnd"/>
      <w:r w:rsidRPr="00C80762">
        <w:rPr>
          <w:rFonts w:ascii="Palatino Linotype" w:hAnsi="Palatino Linotype"/>
          <w:sz w:val="22"/>
          <w:szCs w:val="22"/>
        </w:rPr>
        <w:t xml:space="preserve"> </w:t>
      </w:r>
      <w:proofErr w:type="spellStart"/>
      <w:r w:rsidRPr="00C80762">
        <w:rPr>
          <w:rFonts w:ascii="Palatino Linotype" w:hAnsi="Palatino Linotype"/>
          <w:sz w:val="22"/>
          <w:szCs w:val="22"/>
        </w:rPr>
        <w:t>Psikhiatr</w:t>
      </w:r>
      <w:proofErr w:type="spellEnd"/>
      <w:r w:rsidRPr="00C80762">
        <w:rPr>
          <w:rFonts w:ascii="Palatino Linotype" w:hAnsi="Palatino Linotype"/>
          <w:sz w:val="22"/>
          <w:szCs w:val="22"/>
        </w:rPr>
        <w:t xml:space="preserve"> </w:t>
      </w:r>
      <w:proofErr w:type="spellStart"/>
      <w:r w:rsidRPr="00C80762">
        <w:rPr>
          <w:rFonts w:ascii="Palatino Linotype" w:hAnsi="Palatino Linotype"/>
          <w:sz w:val="22"/>
          <w:szCs w:val="22"/>
        </w:rPr>
        <w:t>Im</w:t>
      </w:r>
      <w:proofErr w:type="spellEnd"/>
      <w:r w:rsidRPr="00C80762">
        <w:rPr>
          <w:rFonts w:ascii="Palatino Linotype" w:hAnsi="Palatino Linotype"/>
          <w:sz w:val="22"/>
          <w:szCs w:val="22"/>
        </w:rPr>
        <w:t xml:space="preserve"> S </w:t>
      </w:r>
      <w:proofErr w:type="spellStart"/>
      <w:r w:rsidRPr="00C80762">
        <w:rPr>
          <w:rFonts w:ascii="Palatino Linotype" w:hAnsi="Palatino Linotype"/>
          <w:sz w:val="22"/>
          <w:szCs w:val="22"/>
        </w:rPr>
        <w:t>S</w:t>
      </w:r>
      <w:proofErr w:type="spellEnd"/>
      <w:r w:rsidRPr="00C80762">
        <w:rPr>
          <w:rFonts w:ascii="Palatino Linotype" w:hAnsi="Palatino Linotype"/>
          <w:sz w:val="22"/>
          <w:szCs w:val="22"/>
        </w:rPr>
        <w:t xml:space="preserve"> </w:t>
      </w:r>
      <w:proofErr w:type="spellStart"/>
      <w:r w:rsidRPr="00C80762">
        <w:rPr>
          <w:rFonts w:ascii="Palatino Linotype" w:hAnsi="Palatino Linotype"/>
          <w:sz w:val="22"/>
          <w:szCs w:val="22"/>
        </w:rPr>
        <w:t>Korsakova</w:t>
      </w:r>
      <w:proofErr w:type="spellEnd"/>
      <w:r w:rsidRPr="00C80762">
        <w:rPr>
          <w:rFonts w:ascii="Palatino Linotype" w:hAnsi="Palatino Linotype"/>
          <w:sz w:val="22"/>
          <w:szCs w:val="22"/>
        </w:rPr>
        <w:t>. 1997;97(11):33-5. Russian. PMID: 9463034.</w:t>
      </w:r>
    </w:p>
  </w:endnote>
  <w:endnote w:id="128">
    <w:p w14:paraId="0FA9F37D" w14:textId="55018E70"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Gu N, Niu JY, Liu WT, Sun YY, Liu S, </w:t>
      </w:r>
      <w:proofErr w:type="spellStart"/>
      <w:r w:rsidRPr="00C80762">
        <w:rPr>
          <w:rFonts w:ascii="Palatino Linotype" w:hAnsi="Palatino Linotype"/>
          <w:sz w:val="22"/>
          <w:szCs w:val="22"/>
        </w:rPr>
        <w:t>Lv</w:t>
      </w:r>
      <w:proofErr w:type="spellEnd"/>
      <w:r w:rsidRPr="00C80762">
        <w:rPr>
          <w:rFonts w:ascii="Palatino Linotype" w:hAnsi="Palatino Linotype"/>
          <w:sz w:val="22"/>
          <w:szCs w:val="22"/>
        </w:rPr>
        <w:t xml:space="preserve"> Y, Dong HL, Song XJ, Xiong LZ. Hyperbaric oxygen therapy attenuates neuropathic hyperalgesia in rats and idiopathic trigeminal neuralgia in patients. </w:t>
      </w:r>
      <w:proofErr w:type="spellStart"/>
      <w:r w:rsidRPr="00C80762">
        <w:rPr>
          <w:rFonts w:ascii="Palatino Linotype" w:hAnsi="Palatino Linotype"/>
          <w:sz w:val="22"/>
          <w:szCs w:val="22"/>
        </w:rPr>
        <w:t>Eur</w:t>
      </w:r>
      <w:proofErr w:type="spellEnd"/>
      <w:r w:rsidRPr="00C80762">
        <w:rPr>
          <w:rFonts w:ascii="Palatino Linotype" w:hAnsi="Palatino Linotype"/>
          <w:sz w:val="22"/>
          <w:szCs w:val="22"/>
        </w:rPr>
        <w:t xml:space="preserve"> J Pain. 2012 Sep;16(8):1094-105. </w:t>
      </w:r>
    </w:p>
  </w:endnote>
  <w:endnote w:id="129">
    <w:p w14:paraId="05EEB6CA" w14:textId="33160CA9"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Wilson JR, Foresman BH, Gamber RG, Wright T. Hyperbaric oxygen in the treatment of migraine with aura. Headache. 1998 Feb;38(2):112-5</w:t>
      </w:r>
      <w:r w:rsidR="00C62E3F" w:rsidRPr="00C80762">
        <w:rPr>
          <w:rFonts w:ascii="Palatino Linotype" w:hAnsi="Palatino Linotype"/>
          <w:sz w:val="22"/>
          <w:szCs w:val="22"/>
        </w:rPr>
        <w:t>.</w:t>
      </w:r>
    </w:p>
  </w:endnote>
  <w:endnote w:id="130">
    <w:p w14:paraId="31E71596"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Di Sabato F, Fusco BM, Pelaia P, et al. Hyperbaric oxygen therapy in cluster headache. Pain </w:t>
      </w:r>
      <w:proofErr w:type="gramStart"/>
      <w:r w:rsidRPr="00C80762">
        <w:rPr>
          <w:rFonts w:ascii="Palatino Linotype" w:hAnsi="Palatino Linotype"/>
          <w:sz w:val="22"/>
          <w:szCs w:val="22"/>
        </w:rPr>
        <w:t>1993;52:243</w:t>
      </w:r>
      <w:proofErr w:type="gramEnd"/>
      <w:r w:rsidRPr="00C80762">
        <w:rPr>
          <w:rFonts w:ascii="Palatino Linotype" w:hAnsi="Palatino Linotype"/>
          <w:sz w:val="22"/>
          <w:szCs w:val="22"/>
        </w:rPr>
        <w:t>–245. </w:t>
      </w:r>
    </w:p>
  </w:endnote>
  <w:endnote w:id="131">
    <w:p w14:paraId="64F83BA0"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Ablin JN, Lang E, Catalogna M, </w:t>
      </w:r>
      <w:proofErr w:type="spellStart"/>
      <w:r w:rsidRPr="00C80762">
        <w:rPr>
          <w:rFonts w:ascii="Palatino Linotype" w:hAnsi="Palatino Linotype"/>
          <w:sz w:val="22"/>
          <w:szCs w:val="22"/>
        </w:rPr>
        <w:t>Aloush</w:t>
      </w:r>
      <w:proofErr w:type="spellEnd"/>
      <w:r w:rsidRPr="00C80762">
        <w:rPr>
          <w:rFonts w:ascii="Palatino Linotype" w:hAnsi="Palatino Linotype"/>
          <w:sz w:val="22"/>
          <w:szCs w:val="22"/>
        </w:rPr>
        <w:t xml:space="preserve"> V, </w:t>
      </w:r>
      <w:proofErr w:type="spellStart"/>
      <w:r w:rsidRPr="00C80762">
        <w:rPr>
          <w:rFonts w:ascii="Palatino Linotype" w:hAnsi="Palatino Linotype"/>
          <w:sz w:val="22"/>
          <w:szCs w:val="22"/>
        </w:rPr>
        <w:t>Hadanny</w:t>
      </w:r>
      <w:proofErr w:type="spellEnd"/>
      <w:r w:rsidRPr="00C80762">
        <w:rPr>
          <w:rFonts w:ascii="Palatino Linotype" w:hAnsi="Palatino Linotype"/>
          <w:sz w:val="22"/>
          <w:szCs w:val="22"/>
        </w:rPr>
        <w:t xml:space="preserve"> A, </w:t>
      </w:r>
      <w:proofErr w:type="spellStart"/>
      <w:r w:rsidRPr="00C80762">
        <w:rPr>
          <w:rFonts w:ascii="Palatino Linotype" w:hAnsi="Palatino Linotype"/>
          <w:sz w:val="22"/>
          <w:szCs w:val="22"/>
        </w:rPr>
        <w:t>Doenyas</w:t>
      </w:r>
      <w:proofErr w:type="spellEnd"/>
      <w:r w:rsidRPr="00C80762">
        <w:rPr>
          <w:rFonts w:ascii="Palatino Linotype" w:hAnsi="Palatino Linotype"/>
          <w:sz w:val="22"/>
          <w:szCs w:val="22"/>
        </w:rPr>
        <w:t xml:space="preserve">-Barak K, </w:t>
      </w:r>
      <w:proofErr w:type="spellStart"/>
      <w:r w:rsidRPr="00C80762">
        <w:rPr>
          <w:rFonts w:ascii="Palatino Linotype" w:hAnsi="Palatino Linotype"/>
          <w:sz w:val="22"/>
          <w:szCs w:val="22"/>
        </w:rPr>
        <w:t>Finci</w:t>
      </w:r>
      <w:proofErr w:type="spellEnd"/>
      <w:r w:rsidRPr="00C80762">
        <w:rPr>
          <w:rFonts w:ascii="Palatino Linotype" w:hAnsi="Palatino Linotype"/>
          <w:sz w:val="22"/>
          <w:szCs w:val="22"/>
        </w:rPr>
        <w:t xml:space="preserve"> S, Polak N, </w:t>
      </w:r>
      <w:proofErr w:type="spellStart"/>
      <w:r w:rsidRPr="00C80762">
        <w:rPr>
          <w:rFonts w:ascii="Palatino Linotype" w:hAnsi="Palatino Linotype"/>
          <w:sz w:val="22"/>
          <w:szCs w:val="22"/>
        </w:rPr>
        <w:t>Fishlev</w:t>
      </w:r>
      <w:proofErr w:type="spellEnd"/>
      <w:r w:rsidRPr="00C80762">
        <w:rPr>
          <w:rFonts w:ascii="Palatino Linotype" w:hAnsi="Palatino Linotype"/>
          <w:sz w:val="22"/>
          <w:szCs w:val="22"/>
        </w:rPr>
        <w:t xml:space="preserve"> G, Korin C, </w:t>
      </w:r>
      <w:proofErr w:type="spellStart"/>
      <w:r w:rsidRPr="00C80762">
        <w:rPr>
          <w:rFonts w:ascii="Palatino Linotype" w:hAnsi="Palatino Linotype"/>
          <w:sz w:val="22"/>
          <w:szCs w:val="22"/>
        </w:rPr>
        <w:t>Tzidky</w:t>
      </w:r>
      <w:proofErr w:type="spellEnd"/>
      <w:r w:rsidRPr="00C80762">
        <w:rPr>
          <w:rFonts w:ascii="Palatino Linotype" w:hAnsi="Palatino Linotype"/>
          <w:sz w:val="22"/>
          <w:szCs w:val="22"/>
        </w:rPr>
        <w:t xml:space="preserve"> RY, Meir Genuth O, Efrati S. Hyperbaric oxygen therapy compared to pharmacological intervention in fibromyalgia patients following traumatic brain injury: A randomized, controlled trial. </w:t>
      </w:r>
      <w:proofErr w:type="spellStart"/>
      <w:r w:rsidRPr="00C80762">
        <w:rPr>
          <w:rFonts w:ascii="Palatino Linotype" w:hAnsi="Palatino Linotype"/>
          <w:sz w:val="22"/>
          <w:szCs w:val="22"/>
        </w:rPr>
        <w:t>PLoS</w:t>
      </w:r>
      <w:proofErr w:type="spellEnd"/>
      <w:r w:rsidRPr="00C80762">
        <w:rPr>
          <w:rFonts w:ascii="Palatino Linotype" w:hAnsi="Palatino Linotype"/>
          <w:sz w:val="22"/>
          <w:szCs w:val="22"/>
        </w:rPr>
        <w:t xml:space="preserve"> One. 2023 Mar 10;18(3</w:t>
      </w:r>
      <w:proofErr w:type="gramStart"/>
      <w:r w:rsidRPr="00C80762">
        <w:rPr>
          <w:rFonts w:ascii="Palatino Linotype" w:hAnsi="Palatino Linotype"/>
          <w:sz w:val="22"/>
          <w:szCs w:val="22"/>
        </w:rPr>
        <w:t>):e</w:t>
      </w:r>
      <w:proofErr w:type="gramEnd"/>
      <w:r w:rsidRPr="00C80762">
        <w:rPr>
          <w:rFonts w:ascii="Palatino Linotype" w:hAnsi="Palatino Linotype"/>
          <w:sz w:val="22"/>
          <w:szCs w:val="22"/>
        </w:rPr>
        <w:t>0282406.</w:t>
      </w:r>
    </w:p>
  </w:endnote>
  <w:endnote w:id="132">
    <w:p w14:paraId="0353361D" w14:textId="66B8D13F" w:rsidR="004A70CE" w:rsidRPr="00C80762" w:rsidRDefault="004A70CE" w:rsidP="00834472">
      <w:pPr>
        <w:spacing w:after="0" w:line="240" w:lineRule="auto"/>
        <w:rPr>
          <w:sz w:val="22"/>
          <w:szCs w:val="22"/>
        </w:rPr>
      </w:pPr>
      <w:r w:rsidRPr="00C80762">
        <w:rPr>
          <w:rStyle w:val="EndnoteReference"/>
          <w:sz w:val="22"/>
          <w:szCs w:val="22"/>
        </w:rPr>
        <w:endnoteRef/>
      </w:r>
      <w:r w:rsidRPr="00C80762">
        <w:rPr>
          <w:sz w:val="22"/>
          <w:szCs w:val="22"/>
        </w:rPr>
        <w:t xml:space="preserve"> </w:t>
      </w:r>
      <w:proofErr w:type="spellStart"/>
      <w:r w:rsidRPr="00C80762">
        <w:rPr>
          <w:sz w:val="22"/>
          <w:szCs w:val="22"/>
        </w:rPr>
        <w:t>Pathault</w:t>
      </w:r>
      <w:proofErr w:type="spellEnd"/>
      <w:r w:rsidRPr="00C80762">
        <w:rPr>
          <w:sz w:val="22"/>
          <w:szCs w:val="22"/>
        </w:rPr>
        <w:t xml:space="preserve"> E, Sanchez S, Husson B, </w:t>
      </w:r>
      <w:proofErr w:type="spellStart"/>
      <w:r w:rsidRPr="00C80762">
        <w:rPr>
          <w:sz w:val="22"/>
          <w:szCs w:val="22"/>
        </w:rPr>
        <w:t>Vanhaecke</w:t>
      </w:r>
      <w:proofErr w:type="spellEnd"/>
      <w:r w:rsidRPr="00C80762">
        <w:rPr>
          <w:sz w:val="22"/>
          <w:szCs w:val="22"/>
        </w:rPr>
        <w:t xml:space="preserve"> C, Georges P, Brazier C, </w:t>
      </w:r>
      <w:proofErr w:type="spellStart"/>
      <w:r w:rsidRPr="00C80762">
        <w:rPr>
          <w:sz w:val="22"/>
          <w:szCs w:val="22"/>
        </w:rPr>
        <w:t>Mourvillier</w:t>
      </w:r>
      <w:proofErr w:type="spellEnd"/>
      <w:r w:rsidRPr="00C80762">
        <w:rPr>
          <w:sz w:val="22"/>
          <w:szCs w:val="22"/>
        </w:rPr>
        <w:t xml:space="preserve"> B, Viguier M. Hyperbaric oxygen therapy enables pain reduction and healing in painful chronic wounds, including in calciphylaxis. Ann Dermatol </w:t>
      </w:r>
      <w:proofErr w:type="spellStart"/>
      <w:r w:rsidRPr="00C80762">
        <w:rPr>
          <w:sz w:val="22"/>
          <w:szCs w:val="22"/>
        </w:rPr>
        <w:t>Venereol</w:t>
      </w:r>
      <w:proofErr w:type="spellEnd"/>
      <w:r w:rsidRPr="00C80762">
        <w:rPr>
          <w:sz w:val="22"/>
          <w:szCs w:val="22"/>
        </w:rPr>
        <w:t xml:space="preserve">. 2024 Dec;151(4):103325. </w:t>
      </w:r>
    </w:p>
  </w:endnote>
  <w:endnote w:id="133">
    <w:p w14:paraId="0933E9CC" w14:textId="6FF08988"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Zhang Y, Brewer AL, Nelson JT, Smith PT, </w:t>
      </w:r>
      <w:proofErr w:type="spellStart"/>
      <w:r w:rsidRPr="00C80762">
        <w:rPr>
          <w:rFonts w:ascii="Palatino Linotype" w:hAnsi="Palatino Linotype"/>
          <w:sz w:val="22"/>
          <w:szCs w:val="22"/>
        </w:rPr>
        <w:t>Shirachi</w:t>
      </w:r>
      <w:proofErr w:type="spellEnd"/>
      <w:r w:rsidRPr="00C80762">
        <w:rPr>
          <w:rFonts w:ascii="Palatino Linotype" w:hAnsi="Palatino Linotype"/>
          <w:sz w:val="22"/>
          <w:szCs w:val="22"/>
        </w:rPr>
        <w:t xml:space="preserve"> DY, Quock RM. Hyperbaric oxygen produces a nitric oxide synthase-regulated anti-allodynic effect in rats with paclitaxel-induced neuropathic pain. Brain Res. 2019 May </w:t>
      </w:r>
      <w:proofErr w:type="gramStart"/>
      <w:r w:rsidRPr="00C80762">
        <w:rPr>
          <w:rFonts w:ascii="Palatino Linotype" w:hAnsi="Palatino Linotype"/>
          <w:sz w:val="22"/>
          <w:szCs w:val="22"/>
        </w:rPr>
        <w:t>15;1711:41</w:t>
      </w:r>
      <w:proofErr w:type="gramEnd"/>
      <w:r w:rsidRPr="00C80762">
        <w:rPr>
          <w:rFonts w:ascii="Palatino Linotype" w:hAnsi="Palatino Linotype"/>
          <w:sz w:val="22"/>
          <w:szCs w:val="22"/>
        </w:rPr>
        <w:t xml:space="preserve">-47. </w:t>
      </w:r>
    </w:p>
  </w:endnote>
  <w:endnote w:id="134">
    <w:p w14:paraId="279CE378" w14:textId="79D913F3" w:rsidR="004A70CE" w:rsidRPr="001322EE"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sz w:val="22"/>
          <w:szCs w:val="22"/>
        </w:rPr>
        <w:t>Baynosa</w:t>
      </w:r>
      <w:proofErr w:type="spellEnd"/>
      <w:r w:rsidRPr="00C80762">
        <w:rPr>
          <w:rFonts w:ascii="Palatino Linotype" w:hAnsi="Palatino Linotype"/>
          <w:sz w:val="22"/>
          <w:szCs w:val="22"/>
        </w:rPr>
        <w:t xml:space="preserve"> RC, Naig AL, Murphy PS, Fang XH, Stephenson LL, </w:t>
      </w:r>
      <w:proofErr w:type="spellStart"/>
      <w:r w:rsidRPr="00C80762">
        <w:rPr>
          <w:rFonts w:ascii="Palatino Linotype" w:hAnsi="Palatino Linotype"/>
          <w:sz w:val="22"/>
          <w:szCs w:val="22"/>
        </w:rPr>
        <w:t>Khiabani</w:t>
      </w:r>
      <w:proofErr w:type="spellEnd"/>
      <w:r w:rsidRPr="00C80762">
        <w:rPr>
          <w:rFonts w:ascii="Palatino Linotype" w:hAnsi="Palatino Linotype"/>
          <w:sz w:val="22"/>
          <w:szCs w:val="22"/>
        </w:rPr>
        <w:t xml:space="preserve"> KT, Wang WZ, Zamboni WA. The effect of hyperbaric oxygen on nitric oxide synthase activity and expression </w:t>
      </w:r>
      <w:r w:rsidRPr="001322EE">
        <w:rPr>
          <w:rFonts w:ascii="Palatino Linotype" w:hAnsi="Palatino Linotype"/>
          <w:sz w:val="22"/>
          <w:szCs w:val="22"/>
        </w:rPr>
        <w:t xml:space="preserve">in ischemia-reperfusion injury. J Surg Res. 2013 Jul;183(1):355-61. </w:t>
      </w:r>
    </w:p>
  </w:endnote>
  <w:endnote w:id="135">
    <w:p w14:paraId="287CE6DA" w14:textId="64AC6966" w:rsidR="001322EE" w:rsidRPr="001322EE" w:rsidRDefault="001322EE">
      <w:pPr>
        <w:pStyle w:val="EndnoteText"/>
        <w:rPr>
          <w:rFonts w:ascii="Palatino Linotype" w:hAnsi="Palatino Linotype"/>
          <w:sz w:val="22"/>
          <w:szCs w:val="22"/>
        </w:rPr>
      </w:pPr>
      <w:r w:rsidRPr="001322EE">
        <w:rPr>
          <w:rStyle w:val="EndnoteReference"/>
          <w:rFonts w:ascii="Palatino Linotype" w:hAnsi="Palatino Linotype"/>
          <w:sz w:val="22"/>
          <w:szCs w:val="22"/>
        </w:rPr>
        <w:endnoteRef/>
      </w:r>
      <w:r w:rsidRPr="001322EE">
        <w:rPr>
          <w:rFonts w:ascii="Palatino Linotype" w:hAnsi="Palatino Linotype"/>
          <w:sz w:val="22"/>
          <w:szCs w:val="22"/>
        </w:rPr>
        <w:t xml:space="preserve"> </w:t>
      </w:r>
      <w:proofErr w:type="spellStart"/>
      <w:r w:rsidRPr="001322EE">
        <w:rPr>
          <w:rFonts w:ascii="Palatino Linotype" w:hAnsi="Palatino Linotype"/>
          <w:sz w:val="22"/>
          <w:szCs w:val="22"/>
        </w:rPr>
        <w:t>Esplugues</w:t>
      </w:r>
      <w:proofErr w:type="spellEnd"/>
      <w:r w:rsidRPr="001322EE">
        <w:rPr>
          <w:rFonts w:ascii="Palatino Linotype" w:hAnsi="Palatino Linotype"/>
          <w:sz w:val="22"/>
          <w:szCs w:val="22"/>
        </w:rPr>
        <w:t xml:space="preserve"> JV. NO as a </w:t>
      </w:r>
      <w:proofErr w:type="spellStart"/>
      <w:r w:rsidRPr="001322EE">
        <w:rPr>
          <w:rFonts w:ascii="Palatino Linotype" w:hAnsi="Palatino Linotype"/>
          <w:sz w:val="22"/>
          <w:szCs w:val="22"/>
        </w:rPr>
        <w:t>signalling</w:t>
      </w:r>
      <w:proofErr w:type="spellEnd"/>
      <w:r w:rsidRPr="001322EE">
        <w:rPr>
          <w:rFonts w:ascii="Palatino Linotype" w:hAnsi="Palatino Linotype"/>
          <w:sz w:val="22"/>
          <w:szCs w:val="22"/>
        </w:rPr>
        <w:t xml:space="preserve"> molecule in the nervous system. Br J </w:t>
      </w:r>
      <w:proofErr w:type="spellStart"/>
      <w:r w:rsidRPr="001322EE">
        <w:rPr>
          <w:rFonts w:ascii="Palatino Linotype" w:hAnsi="Palatino Linotype"/>
          <w:sz w:val="22"/>
          <w:szCs w:val="22"/>
        </w:rPr>
        <w:t>Pharmacol</w:t>
      </w:r>
      <w:proofErr w:type="spellEnd"/>
      <w:r w:rsidRPr="001322EE">
        <w:rPr>
          <w:rFonts w:ascii="Palatino Linotype" w:hAnsi="Palatino Linotype"/>
          <w:sz w:val="22"/>
          <w:szCs w:val="22"/>
        </w:rPr>
        <w:t xml:space="preserve">. 2002 Mar;135(5):1079-95. </w:t>
      </w:r>
    </w:p>
  </w:endnote>
  <w:endnote w:id="136">
    <w:p w14:paraId="48CF3A73" w14:textId="17DF40B3" w:rsidR="004A70CE" w:rsidRPr="00C80762" w:rsidRDefault="004A70CE" w:rsidP="00834472">
      <w:pPr>
        <w:pStyle w:val="EndnoteText"/>
        <w:rPr>
          <w:rFonts w:ascii="Palatino Linotype" w:hAnsi="Palatino Linotype"/>
          <w:sz w:val="22"/>
          <w:szCs w:val="22"/>
        </w:rPr>
      </w:pPr>
      <w:r w:rsidRPr="001322EE">
        <w:rPr>
          <w:rStyle w:val="EndnoteReference"/>
          <w:rFonts w:ascii="Palatino Linotype" w:hAnsi="Palatino Linotype"/>
          <w:sz w:val="22"/>
          <w:szCs w:val="22"/>
        </w:rPr>
        <w:endnoteRef/>
      </w:r>
      <w:r w:rsidRPr="001322EE">
        <w:rPr>
          <w:rFonts w:ascii="Palatino Linotype" w:hAnsi="Palatino Linotype"/>
          <w:sz w:val="22"/>
          <w:szCs w:val="22"/>
        </w:rPr>
        <w:t xml:space="preserve"> Heeman JH, Zhang Y, </w:t>
      </w:r>
      <w:proofErr w:type="spellStart"/>
      <w:r w:rsidRPr="001322EE">
        <w:rPr>
          <w:rFonts w:ascii="Palatino Linotype" w:hAnsi="Palatino Linotype"/>
          <w:sz w:val="22"/>
          <w:szCs w:val="22"/>
        </w:rPr>
        <w:t>Shirachi</w:t>
      </w:r>
      <w:proofErr w:type="spellEnd"/>
      <w:r w:rsidRPr="001322EE">
        <w:rPr>
          <w:rFonts w:ascii="Palatino Linotype" w:hAnsi="Palatino Linotype"/>
          <w:sz w:val="22"/>
          <w:szCs w:val="22"/>
        </w:rPr>
        <w:t xml:space="preserve"> DY, Quock RM. Involvement of spinal cord opioid mechanisms in the acute antinociceptive</w:t>
      </w:r>
      <w:r w:rsidRPr="00C80762">
        <w:rPr>
          <w:rFonts w:ascii="Palatino Linotype" w:hAnsi="Palatino Linotype"/>
          <w:sz w:val="22"/>
          <w:szCs w:val="22"/>
        </w:rPr>
        <w:t xml:space="preserve"> effect of hyperbaric oxygen in mice. Brain Res. 2013 Dec </w:t>
      </w:r>
      <w:proofErr w:type="gramStart"/>
      <w:r w:rsidRPr="00C80762">
        <w:rPr>
          <w:rFonts w:ascii="Palatino Linotype" w:hAnsi="Palatino Linotype"/>
          <w:sz w:val="22"/>
          <w:szCs w:val="22"/>
        </w:rPr>
        <w:t>2;1540:42</w:t>
      </w:r>
      <w:proofErr w:type="gramEnd"/>
      <w:r w:rsidRPr="00C80762">
        <w:rPr>
          <w:rFonts w:ascii="Palatino Linotype" w:hAnsi="Palatino Linotype"/>
          <w:sz w:val="22"/>
          <w:szCs w:val="22"/>
        </w:rPr>
        <w:t xml:space="preserve">-7. </w:t>
      </w:r>
    </w:p>
  </w:endnote>
  <w:endnote w:id="137">
    <w:p w14:paraId="51022F09" w14:textId="15117BB5"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Gibbons CR, Liu S, Zhang Y, Sayre CL, Levitch BR, Moehlmann SB, </w:t>
      </w:r>
      <w:proofErr w:type="spellStart"/>
      <w:r w:rsidRPr="00C80762">
        <w:rPr>
          <w:rFonts w:ascii="Palatino Linotype" w:hAnsi="Palatino Linotype"/>
          <w:sz w:val="22"/>
          <w:szCs w:val="22"/>
        </w:rPr>
        <w:t>Shirachi</w:t>
      </w:r>
      <w:proofErr w:type="spellEnd"/>
      <w:r w:rsidRPr="00C80762">
        <w:rPr>
          <w:rFonts w:ascii="Palatino Linotype" w:hAnsi="Palatino Linotype"/>
          <w:sz w:val="22"/>
          <w:szCs w:val="22"/>
        </w:rPr>
        <w:t xml:space="preserve"> DY, Quock RM. Involvement of brain opioid receptors in the anti-allodynic effect of hyperbaric oxygen in rats with sciatic nerve crush-induced neuropathic pain. Brain Res. 2013 Nov </w:t>
      </w:r>
      <w:proofErr w:type="gramStart"/>
      <w:r w:rsidRPr="00C80762">
        <w:rPr>
          <w:rFonts w:ascii="Palatino Linotype" w:hAnsi="Palatino Linotype"/>
          <w:sz w:val="22"/>
          <w:szCs w:val="22"/>
        </w:rPr>
        <w:t>6;1537:111</w:t>
      </w:r>
      <w:proofErr w:type="gramEnd"/>
      <w:r w:rsidRPr="00C80762">
        <w:rPr>
          <w:rFonts w:ascii="Palatino Linotype" w:hAnsi="Palatino Linotype"/>
          <w:sz w:val="22"/>
          <w:szCs w:val="22"/>
        </w:rPr>
        <w:t xml:space="preserve">-6. </w:t>
      </w:r>
    </w:p>
  </w:endnote>
  <w:endnote w:id="138">
    <w:p w14:paraId="61EE7C24" w14:textId="77777777"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Wright JK. The use of hyperbaric oxygen for drug and alcohol rehabilitation and brain healing. White Paper. School of Aerospace Medicine, USAF. 2003.</w:t>
      </w:r>
    </w:p>
  </w:endnote>
  <w:endnote w:id="139">
    <w:p w14:paraId="151D63F2" w14:textId="5AC381EE"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Southard MT, Giannotti G, Thakar A, Willsey TR, Bailey LG, Salazar F, Hentges S, Quock RM, Brown TE. Hyperbaric oxygen treatment attenuates naloxone-precipitated opioid withdrawal behaviors and alters microglial activity in male and female mice. Sci Rep. 2025 Jul 2;15(1):23677. </w:t>
      </w:r>
    </w:p>
  </w:endnote>
  <w:endnote w:id="140">
    <w:p w14:paraId="238FFFDA" w14:textId="195C63A0"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Wilson M, </w:t>
      </w:r>
      <w:proofErr w:type="spellStart"/>
      <w:r w:rsidRPr="00C80762">
        <w:rPr>
          <w:rFonts w:ascii="Palatino Linotype" w:hAnsi="Palatino Linotype"/>
          <w:sz w:val="22"/>
          <w:szCs w:val="22"/>
        </w:rPr>
        <w:t>Bindler</w:t>
      </w:r>
      <w:proofErr w:type="spellEnd"/>
      <w:r w:rsidRPr="00C80762">
        <w:rPr>
          <w:rFonts w:ascii="Palatino Linotype" w:hAnsi="Palatino Linotype"/>
          <w:sz w:val="22"/>
          <w:szCs w:val="22"/>
        </w:rPr>
        <w:t xml:space="preserve"> RJ, Stanek K, Layton ME, Quock RM. Hyperbaric Oxygen Therapy for Pain, Opioid Withdrawal, and Related Symptoms: A Pilot Randomized Controlled Trial. Pain Manag </w:t>
      </w:r>
      <w:proofErr w:type="spellStart"/>
      <w:r w:rsidRPr="00C80762">
        <w:rPr>
          <w:rFonts w:ascii="Palatino Linotype" w:hAnsi="Palatino Linotype"/>
          <w:sz w:val="22"/>
          <w:szCs w:val="22"/>
        </w:rPr>
        <w:t>Nurs</w:t>
      </w:r>
      <w:proofErr w:type="spellEnd"/>
      <w:r w:rsidRPr="00C80762">
        <w:rPr>
          <w:rFonts w:ascii="Palatino Linotype" w:hAnsi="Palatino Linotype"/>
          <w:sz w:val="22"/>
          <w:szCs w:val="22"/>
        </w:rPr>
        <w:t xml:space="preserve">. 2022 Oct;23(5):616-624. </w:t>
      </w:r>
    </w:p>
  </w:endnote>
  <w:endnote w:id="141">
    <w:p w14:paraId="082BD67A" w14:textId="3BC243D5"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sz w:val="22"/>
          <w:szCs w:val="22"/>
        </w:rPr>
        <w:t>Doenyas</w:t>
      </w:r>
      <w:proofErr w:type="spellEnd"/>
      <w:r w:rsidRPr="00C80762">
        <w:rPr>
          <w:rFonts w:ascii="Palatino Linotype" w:hAnsi="Palatino Linotype"/>
          <w:sz w:val="22"/>
          <w:szCs w:val="22"/>
        </w:rPr>
        <w:t xml:space="preserve">-Barak K, Kutz I, Lang E, Assouline A, </w:t>
      </w:r>
      <w:proofErr w:type="spellStart"/>
      <w:r w:rsidRPr="00C80762">
        <w:rPr>
          <w:rFonts w:ascii="Palatino Linotype" w:hAnsi="Palatino Linotype"/>
          <w:sz w:val="22"/>
          <w:szCs w:val="22"/>
        </w:rPr>
        <w:t>Hadanny</w:t>
      </w:r>
      <w:proofErr w:type="spellEnd"/>
      <w:r w:rsidRPr="00C80762">
        <w:rPr>
          <w:rFonts w:ascii="Palatino Linotype" w:hAnsi="Palatino Linotype"/>
          <w:sz w:val="22"/>
          <w:szCs w:val="22"/>
        </w:rPr>
        <w:t xml:space="preserve"> A, Aberg KC, Levi G, </w:t>
      </w:r>
      <w:proofErr w:type="spellStart"/>
      <w:r w:rsidRPr="00C80762">
        <w:rPr>
          <w:rFonts w:ascii="Palatino Linotype" w:hAnsi="Palatino Linotype"/>
          <w:sz w:val="22"/>
          <w:szCs w:val="22"/>
        </w:rPr>
        <w:t>Beberashvili</w:t>
      </w:r>
      <w:proofErr w:type="spellEnd"/>
      <w:r w:rsidRPr="00C80762">
        <w:rPr>
          <w:rFonts w:ascii="Palatino Linotype" w:hAnsi="Palatino Linotype"/>
          <w:sz w:val="22"/>
          <w:szCs w:val="22"/>
        </w:rPr>
        <w:t xml:space="preserve"> I, Mayo A, Efrati S. Hyperbaric Oxygen Therapy for Veterans </w:t>
      </w:r>
      <w:proofErr w:type="gramStart"/>
      <w:r w:rsidRPr="00C80762">
        <w:rPr>
          <w:rFonts w:ascii="Palatino Linotype" w:hAnsi="Palatino Linotype"/>
          <w:sz w:val="22"/>
          <w:szCs w:val="22"/>
        </w:rPr>
        <w:t>With</w:t>
      </w:r>
      <w:proofErr w:type="gramEnd"/>
      <w:r w:rsidRPr="00C80762">
        <w:rPr>
          <w:rFonts w:ascii="Palatino Linotype" w:hAnsi="Palatino Linotype"/>
          <w:sz w:val="22"/>
          <w:szCs w:val="22"/>
        </w:rPr>
        <w:t xml:space="preserve"> Combat-Associated Posttraumatic Stress Disorder: A Randomized, Sham-Controlled Clinical Trial. J Clin Psychiatry. 2024 Nov 10</w:t>
      </w:r>
    </w:p>
  </w:endnote>
  <w:endnote w:id="142">
    <w:p w14:paraId="685E33D2" w14:textId="77777777" w:rsidR="00553F48" w:rsidRPr="00C80762" w:rsidRDefault="00553F48" w:rsidP="00553F48">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color w:val="212121"/>
          <w:sz w:val="22"/>
          <w:szCs w:val="22"/>
          <w:shd w:val="clear" w:color="auto" w:fill="FFFFFF"/>
        </w:rPr>
        <w:t xml:space="preserve">Huang L, Zhang Q, Fu C, Liang Z, Xiong F, He C, Wei Q. Effects of hyperbaric oxygen therapy on patients with spinal cord injury: A systematic review and meta-analysis of Randomized Controlled Trials. J Back </w:t>
      </w:r>
      <w:proofErr w:type="spellStart"/>
      <w:r w:rsidRPr="00C80762">
        <w:rPr>
          <w:rFonts w:ascii="Palatino Linotype" w:hAnsi="Palatino Linotype" w:cstheme="minorHAnsi"/>
          <w:color w:val="212121"/>
          <w:sz w:val="22"/>
          <w:szCs w:val="22"/>
          <w:shd w:val="clear" w:color="auto" w:fill="FFFFFF"/>
        </w:rPr>
        <w:t>Musculoskelet</w:t>
      </w:r>
      <w:proofErr w:type="spellEnd"/>
      <w:r w:rsidRPr="00C80762">
        <w:rPr>
          <w:rFonts w:ascii="Palatino Linotype" w:hAnsi="Palatino Linotype" w:cstheme="minorHAnsi"/>
          <w:color w:val="212121"/>
          <w:sz w:val="22"/>
          <w:szCs w:val="22"/>
          <w:shd w:val="clear" w:color="auto" w:fill="FFFFFF"/>
        </w:rPr>
        <w:t xml:space="preserve"> </w:t>
      </w:r>
      <w:proofErr w:type="spellStart"/>
      <w:r w:rsidRPr="00C80762">
        <w:rPr>
          <w:rFonts w:ascii="Palatino Linotype" w:hAnsi="Palatino Linotype" w:cstheme="minorHAnsi"/>
          <w:color w:val="212121"/>
          <w:sz w:val="22"/>
          <w:szCs w:val="22"/>
          <w:shd w:val="clear" w:color="auto" w:fill="FFFFFF"/>
        </w:rPr>
        <w:t>Rehabil</w:t>
      </w:r>
      <w:proofErr w:type="spellEnd"/>
      <w:r w:rsidRPr="00C80762">
        <w:rPr>
          <w:rFonts w:ascii="Palatino Linotype" w:hAnsi="Palatino Linotype" w:cstheme="minorHAnsi"/>
          <w:color w:val="212121"/>
          <w:sz w:val="22"/>
          <w:szCs w:val="22"/>
          <w:shd w:val="clear" w:color="auto" w:fill="FFFFFF"/>
        </w:rPr>
        <w:t>. 2021;34(6):905-913.</w:t>
      </w:r>
    </w:p>
  </w:endnote>
  <w:endnote w:id="143">
    <w:p w14:paraId="00F6F575" w14:textId="77777777" w:rsidR="00553F48" w:rsidRPr="00C80762" w:rsidRDefault="00553F48" w:rsidP="00553F48">
      <w:pPr>
        <w:pStyle w:val="EndnoteText"/>
        <w:rPr>
          <w:rFonts w:ascii="Palatino Linotype" w:hAnsi="Palatino Linotype" w:cstheme="minorHAnsi"/>
          <w:sz w:val="22"/>
          <w:szCs w:val="22"/>
        </w:rPr>
      </w:pPr>
      <w:r w:rsidRPr="00C80762">
        <w:rPr>
          <w:rStyle w:val="EndnoteReference"/>
          <w:rFonts w:ascii="Palatino Linotype" w:hAnsi="Palatino Linotype" w:cstheme="minorHAnsi"/>
          <w:sz w:val="22"/>
          <w:szCs w:val="22"/>
        </w:rPr>
        <w:endnoteRef/>
      </w:r>
      <w:r w:rsidRPr="00C80762">
        <w:rPr>
          <w:rFonts w:ascii="Palatino Linotype" w:hAnsi="Palatino Linotype" w:cstheme="minorHAnsi"/>
          <w:sz w:val="22"/>
          <w:szCs w:val="22"/>
        </w:rPr>
        <w:t xml:space="preserve"> </w:t>
      </w:r>
      <w:r w:rsidRPr="00C80762">
        <w:rPr>
          <w:rFonts w:ascii="Palatino Linotype" w:hAnsi="Palatino Linotype" w:cstheme="minorHAnsi"/>
          <w:color w:val="212121"/>
          <w:sz w:val="22"/>
          <w:szCs w:val="22"/>
          <w:shd w:val="clear" w:color="auto" w:fill="FFFFFF"/>
        </w:rPr>
        <w:t xml:space="preserve">Zhang Z, Li Q, Yang X, Li B, Zhou Y, Hu T, Yuan J, Dong P. Effects of hyperbaric oxygen therapy on postoperative recovery after incomplete cervical spinal cord injury. Spinal Cord. 2022 Feb;60(2):129-134. </w:t>
      </w:r>
    </w:p>
  </w:endnote>
  <w:endnote w:id="144">
    <w:p w14:paraId="04DD48D0" w14:textId="0866B4A4" w:rsidR="006D6D95" w:rsidRPr="00C80762" w:rsidRDefault="006D6D95"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sz w:val="22"/>
          <w:szCs w:val="22"/>
        </w:rPr>
        <w:t>Krzystanek</w:t>
      </w:r>
      <w:proofErr w:type="spellEnd"/>
      <w:r w:rsidRPr="00C80762">
        <w:rPr>
          <w:rFonts w:ascii="Palatino Linotype" w:hAnsi="Palatino Linotype"/>
          <w:sz w:val="22"/>
          <w:szCs w:val="22"/>
        </w:rPr>
        <w:t xml:space="preserve"> M, </w:t>
      </w:r>
      <w:proofErr w:type="spellStart"/>
      <w:r w:rsidRPr="00C80762">
        <w:rPr>
          <w:rFonts w:ascii="Palatino Linotype" w:hAnsi="Palatino Linotype"/>
          <w:sz w:val="22"/>
          <w:szCs w:val="22"/>
        </w:rPr>
        <w:t>Romańczyk</w:t>
      </w:r>
      <w:proofErr w:type="spellEnd"/>
      <w:r w:rsidRPr="00C80762">
        <w:rPr>
          <w:rFonts w:ascii="Palatino Linotype" w:hAnsi="Palatino Linotype"/>
          <w:sz w:val="22"/>
          <w:szCs w:val="22"/>
        </w:rPr>
        <w:t xml:space="preserve"> M, Surma S, </w:t>
      </w:r>
      <w:proofErr w:type="spellStart"/>
      <w:r w:rsidRPr="00C80762">
        <w:rPr>
          <w:rFonts w:ascii="Palatino Linotype" w:hAnsi="Palatino Linotype"/>
          <w:sz w:val="22"/>
          <w:szCs w:val="22"/>
        </w:rPr>
        <w:t>Koźmin</w:t>
      </w:r>
      <w:proofErr w:type="spellEnd"/>
      <w:r w:rsidRPr="00C80762">
        <w:rPr>
          <w:rFonts w:ascii="Palatino Linotype" w:hAnsi="Palatino Linotype"/>
          <w:sz w:val="22"/>
          <w:szCs w:val="22"/>
        </w:rPr>
        <w:t xml:space="preserve">-Burzyńska A. Whole Body Cryotherapy and Hyperbaric Oxygen Treatment: New Biological Treatment of Depression? A Systematic Review. Pharmaceuticals (Basel). 2021 Jun 21;14(6):595. </w:t>
      </w:r>
    </w:p>
  </w:endnote>
  <w:endnote w:id="145">
    <w:p w14:paraId="588971E0" w14:textId="672C9DF0"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sz w:val="22"/>
          <w:szCs w:val="22"/>
        </w:rPr>
        <w:t>Krzystanek</w:t>
      </w:r>
      <w:proofErr w:type="spellEnd"/>
      <w:r w:rsidRPr="00C80762">
        <w:rPr>
          <w:rFonts w:ascii="Palatino Linotype" w:hAnsi="Palatino Linotype"/>
          <w:sz w:val="22"/>
          <w:szCs w:val="22"/>
        </w:rPr>
        <w:t xml:space="preserve"> M, </w:t>
      </w:r>
      <w:proofErr w:type="spellStart"/>
      <w:r w:rsidRPr="00C80762">
        <w:rPr>
          <w:rFonts w:ascii="Palatino Linotype" w:hAnsi="Palatino Linotype"/>
          <w:sz w:val="22"/>
          <w:szCs w:val="22"/>
        </w:rPr>
        <w:t>Romańczyk</w:t>
      </w:r>
      <w:proofErr w:type="spellEnd"/>
      <w:r w:rsidRPr="00C80762">
        <w:rPr>
          <w:rFonts w:ascii="Palatino Linotype" w:hAnsi="Palatino Linotype"/>
          <w:sz w:val="22"/>
          <w:szCs w:val="22"/>
        </w:rPr>
        <w:t xml:space="preserve"> M, Surma S, </w:t>
      </w:r>
      <w:proofErr w:type="spellStart"/>
      <w:r w:rsidRPr="00C80762">
        <w:rPr>
          <w:rFonts w:ascii="Palatino Linotype" w:hAnsi="Palatino Linotype"/>
          <w:sz w:val="22"/>
          <w:szCs w:val="22"/>
        </w:rPr>
        <w:t>Koźmin</w:t>
      </w:r>
      <w:proofErr w:type="spellEnd"/>
      <w:r w:rsidRPr="00C80762">
        <w:rPr>
          <w:rFonts w:ascii="Palatino Linotype" w:hAnsi="Palatino Linotype"/>
          <w:sz w:val="22"/>
          <w:szCs w:val="22"/>
        </w:rPr>
        <w:t xml:space="preserve">-Burzyńska A. Whole Body Cryotherapy and Hyperbaric Oxygen Treatment: New Biological Treatment of Depression? A Systematic Review. Pharmaceuticals (Basel). 2021 Jun 21;14(6):595. </w:t>
      </w:r>
    </w:p>
  </w:endnote>
  <w:endnote w:id="146">
    <w:p w14:paraId="13F30761" w14:textId="35B40064"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Guo H, Ge YR, Dong YB, Zhao XC, Su GL, Wang JC. Effect of hyperbaric oxygen on post-stroke depression. World J Psychiatry. 2023 May 19;13(5):226-233. </w:t>
      </w:r>
    </w:p>
  </w:endnote>
  <w:endnote w:id="147">
    <w:p w14:paraId="3B973470" w14:textId="557FCE00"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w:t>
      </w:r>
      <w:proofErr w:type="spellStart"/>
      <w:r w:rsidRPr="00C80762">
        <w:rPr>
          <w:rFonts w:ascii="Palatino Linotype" w:hAnsi="Palatino Linotype"/>
          <w:sz w:val="22"/>
          <w:szCs w:val="22"/>
        </w:rPr>
        <w:t>Mozayeni</w:t>
      </w:r>
      <w:proofErr w:type="spellEnd"/>
      <w:r w:rsidRPr="00C80762">
        <w:rPr>
          <w:rFonts w:ascii="Palatino Linotype" w:hAnsi="Palatino Linotype"/>
          <w:sz w:val="22"/>
          <w:szCs w:val="22"/>
        </w:rPr>
        <w:t xml:space="preserve"> BR, Duncan W, Zant E, Love TL, Beckman RL, Stoller KP. The National Brain Injury Rescue and Rehabilitation Study - a multicenter observational study of hyperbaric oxygen for mild traumatic brain injury with post-concussive symptoms. Med Gas Res. 2019 Jan-Mar;9(1):1-12. </w:t>
      </w:r>
    </w:p>
  </w:endnote>
  <w:endnote w:id="148">
    <w:p w14:paraId="7CC2E5EE" w14:textId="230EAF64" w:rsidR="004A70CE" w:rsidRPr="00C80762" w:rsidRDefault="004A70CE"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Feng JJ, Li YH. Effects of hyperbaric oxygen therapy on depression and anxiety in the patients with incomplete spinal cord injury (a STROBE-compliant article). Medicine (Baltimore). 2017 Jul;96(29</w:t>
      </w:r>
      <w:proofErr w:type="gramStart"/>
      <w:r w:rsidRPr="00C80762">
        <w:rPr>
          <w:rFonts w:ascii="Palatino Linotype" w:hAnsi="Palatino Linotype"/>
          <w:sz w:val="22"/>
          <w:szCs w:val="22"/>
        </w:rPr>
        <w:t>):e</w:t>
      </w:r>
      <w:proofErr w:type="gramEnd"/>
      <w:r w:rsidRPr="00C80762">
        <w:rPr>
          <w:rFonts w:ascii="Palatino Linotype" w:hAnsi="Palatino Linotype"/>
          <w:sz w:val="22"/>
          <w:szCs w:val="22"/>
        </w:rPr>
        <w:t xml:space="preserve">7334. </w:t>
      </w:r>
    </w:p>
  </w:endnote>
  <w:endnote w:id="149">
    <w:p w14:paraId="2E671A40" w14:textId="5EB24577" w:rsidR="007D52FF" w:rsidRPr="00C80762" w:rsidRDefault="007D52FF" w:rsidP="00834472">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Personal Communication, Dr. Robert Beckman, Treat Now Coalition, 2025.</w:t>
      </w:r>
    </w:p>
  </w:endnote>
  <w:endnote w:id="150">
    <w:p w14:paraId="6508A7B5" w14:textId="3F9242A7" w:rsidR="00577311" w:rsidRPr="00C80762" w:rsidRDefault="00577311">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Paralyzed Veterans of America Annual Report 2024. https://pva.org/about-us/financial-information-and-governance/annual-report-2024/ </w:t>
      </w:r>
    </w:p>
  </w:endnote>
  <w:endnote w:id="151">
    <w:p w14:paraId="1E36C5E9" w14:textId="7CD3DF79" w:rsidR="00577311" w:rsidRPr="00C80762" w:rsidRDefault="00577311">
      <w:pPr>
        <w:pStyle w:val="EndnoteText"/>
        <w:rPr>
          <w:rFonts w:ascii="Palatino Linotype" w:hAnsi="Palatino Linotype"/>
          <w:sz w:val="22"/>
          <w:szCs w:val="22"/>
        </w:rPr>
      </w:pPr>
      <w:r w:rsidRPr="00C80762">
        <w:rPr>
          <w:rStyle w:val="EndnoteReference"/>
          <w:rFonts w:ascii="Palatino Linotype" w:hAnsi="Palatino Linotype"/>
          <w:sz w:val="22"/>
          <w:szCs w:val="22"/>
        </w:rPr>
        <w:endnoteRef/>
      </w:r>
      <w:r w:rsidRPr="00C80762">
        <w:rPr>
          <w:rFonts w:ascii="Palatino Linotype" w:hAnsi="Palatino Linotype"/>
          <w:sz w:val="22"/>
          <w:szCs w:val="22"/>
        </w:rPr>
        <w:t xml:space="preserve"> Resistance to Resilience: Rising Above Depression with Ketamine. VA Diffusion Marketplace. https://marketplace.va.gov/innovations/from-resistance-to-resilience-a-veteran-s-renewal-with-ketamine</w:t>
      </w:r>
      <w:r w:rsidR="00C62E3F" w:rsidRPr="00C80762">
        <w:rPr>
          <w:rFonts w:ascii="Palatino Linotype" w:hAnsi="Palatino Linotype"/>
          <w:sz w:val="22"/>
          <w:szCs w:val="22"/>
        </w:rPr>
        <w:t>.</w:t>
      </w:r>
    </w:p>
  </w:endnote>
  <w:endnote w:id="152">
    <w:p w14:paraId="3B3DDC07" w14:textId="77777777" w:rsidR="00B17EF4" w:rsidRPr="00C80762" w:rsidRDefault="00B17EF4" w:rsidP="00834472">
      <w:pPr>
        <w:pStyle w:val="HTMLPreformatted"/>
        <w:rPr>
          <w:rFonts w:ascii="Palatino Linotype" w:hAnsi="Palatino Linotype" w:cs="Arial"/>
          <w:sz w:val="22"/>
          <w:szCs w:val="22"/>
          <w:lang w:bidi="x-none"/>
        </w:rPr>
      </w:pPr>
      <w:r w:rsidRPr="00C80762">
        <w:rPr>
          <w:rStyle w:val="EndnoteReference2"/>
          <w:rFonts w:ascii="Palatino Linotype" w:eastAsiaTheme="majorEastAsia" w:hAnsi="Palatino Linotype" w:cs="Arial"/>
          <w:sz w:val="22"/>
          <w:szCs w:val="22"/>
        </w:rPr>
        <w:endnoteRef/>
      </w:r>
      <w:r w:rsidRPr="00C80762">
        <w:rPr>
          <w:rFonts w:ascii="Palatino Linotype" w:hAnsi="Palatino Linotype" w:cs="Arial"/>
          <w:sz w:val="22"/>
          <w:szCs w:val="22"/>
        </w:rPr>
        <w:t xml:space="preserve"> Golden ZL, Neubauer R, Golden CJ, Greene L, Marsh J, </w:t>
      </w:r>
      <w:proofErr w:type="spellStart"/>
      <w:r w:rsidRPr="00C80762">
        <w:rPr>
          <w:rFonts w:ascii="Palatino Linotype" w:hAnsi="Palatino Linotype" w:cs="Arial"/>
          <w:sz w:val="22"/>
          <w:szCs w:val="22"/>
        </w:rPr>
        <w:t>Mleko</w:t>
      </w:r>
      <w:proofErr w:type="spellEnd"/>
      <w:r w:rsidRPr="00C80762">
        <w:rPr>
          <w:rFonts w:ascii="Palatino Linotype" w:hAnsi="Palatino Linotype" w:cs="Arial"/>
          <w:sz w:val="22"/>
          <w:szCs w:val="22"/>
        </w:rPr>
        <w:t xml:space="preserve"> A. Improvement in cerebral metabolism in chronic brain injury after hyperbaric oxygen therapy. Int J </w:t>
      </w:r>
      <w:proofErr w:type="spellStart"/>
      <w:r w:rsidRPr="00C80762">
        <w:rPr>
          <w:rFonts w:ascii="Palatino Linotype" w:hAnsi="Palatino Linotype" w:cs="Arial"/>
          <w:sz w:val="22"/>
          <w:szCs w:val="22"/>
        </w:rPr>
        <w:t>Neurosci</w:t>
      </w:r>
      <w:proofErr w:type="spellEnd"/>
      <w:r w:rsidRPr="00C80762">
        <w:rPr>
          <w:rFonts w:ascii="Palatino Linotype" w:hAnsi="Palatino Linotype" w:cs="Arial"/>
          <w:sz w:val="22"/>
          <w:szCs w:val="22"/>
        </w:rPr>
        <w:t xml:space="preserve"> 2002; 112:119-131.</w:t>
      </w:r>
    </w:p>
  </w:endnote>
  <w:endnote w:id="153">
    <w:p w14:paraId="4F2ECA97" w14:textId="77777777" w:rsidR="00B17EF4" w:rsidRPr="00C80762" w:rsidRDefault="00B17EF4" w:rsidP="00834472">
      <w:pPr>
        <w:widowControl w:val="0"/>
        <w:spacing w:after="0" w:line="240" w:lineRule="auto"/>
        <w:rPr>
          <w:rFonts w:eastAsia="Times New Roman"/>
          <w:sz w:val="22"/>
          <w:szCs w:val="22"/>
          <w:lang w:bidi="x-none"/>
        </w:rPr>
      </w:pPr>
      <w:r w:rsidRPr="00C80762">
        <w:rPr>
          <w:rStyle w:val="EndnoteReference2"/>
          <w:rFonts w:cs="Arial"/>
          <w:sz w:val="22"/>
          <w:szCs w:val="22"/>
        </w:rPr>
        <w:endnoteRef/>
      </w:r>
      <w:r w:rsidRPr="00C80762">
        <w:rPr>
          <w:rFonts w:cs="Arial"/>
          <w:sz w:val="22"/>
          <w:szCs w:val="22"/>
        </w:rPr>
        <w:t xml:space="preserve"> Harch</w:t>
      </w:r>
      <w:r w:rsidRPr="00C80762">
        <w:rPr>
          <w:sz w:val="22"/>
          <w:szCs w:val="22"/>
        </w:rPr>
        <w:t xml:space="preserve"> PG, Neubauer RA. Hyperbaric Oxygen Therapy in Global Cerebral Ischemia/Anoxia and Coma, </w:t>
      </w:r>
      <w:proofErr w:type="gramStart"/>
      <w:r w:rsidRPr="00C80762">
        <w:rPr>
          <w:sz w:val="22"/>
          <w:szCs w:val="22"/>
        </w:rPr>
        <w:t>In</w:t>
      </w:r>
      <w:proofErr w:type="gramEnd"/>
      <w:r w:rsidRPr="00C80762">
        <w:rPr>
          <w:sz w:val="22"/>
          <w:szCs w:val="22"/>
        </w:rPr>
        <w:t>: Jain KK ed. Textbook of Hyperbaric Medicine, 3</w:t>
      </w:r>
      <w:r w:rsidRPr="00C80762">
        <w:rPr>
          <w:sz w:val="22"/>
          <w:szCs w:val="22"/>
          <w:vertAlign w:val="superscript"/>
        </w:rPr>
        <w:t>rd</w:t>
      </w:r>
      <w:r w:rsidRPr="00C80762">
        <w:rPr>
          <w:sz w:val="22"/>
          <w:szCs w:val="22"/>
        </w:rPr>
        <w:t xml:space="preserve"> Revised Ed. Seattle: Hogrefe and Huber Publishers, 1999: 319-345.</w:t>
      </w:r>
    </w:p>
  </w:endnote>
  <w:endnote w:id="154">
    <w:p w14:paraId="511ED8B9" w14:textId="77777777" w:rsidR="00B17EF4" w:rsidRPr="00C80762" w:rsidRDefault="00B17EF4" w:rsidP="00834472">
      <w:pPr>
        <w:pStyle w:val="HTMLPreformatted"/>
        <w:rPr>
          <w:rFonts w:ascii="Palatino Linotype" w:hAnsi="Palatino Linotype" w:cs="Arial"/>
          <w:sz w:val="22"/>
          <w:szCs w:val="22"/>
        </w:rPr>
      </w:pPr>
      <w:r w:rsidRPr="00C80762">
        <w:rPr>
          <w:rStyle w:val="EndnoteReference2"/>
          <w:rFonts w:ascii="Palatino Linotype" w:eastAsiaTheme="majorEastAsia" w:hAnsi="Palatino Linotype" w:cs="Arial"/>
          <w:sz w:val="22"/>
          <w:szCs w:val="22"/>
        </w:rPr>
        <w:endnoteRef/>
      </w:r>
      <w:r w:rsidRPr="00C80762">
        <w:rPr>
          <w:rFonts w:ascii="Palatino Linotype" w:hAnsi="Palatino Linotype" w:cs="Arial"/>
          <w:sz w:val="22"/>
          <w:szCs w:val="22"/>
        </w:rPr>
        <w:t xml:space="preserve"> Hardy P, Johnston KM, De Beaumont L, et al. Pilot case study of the therapeutic potential of hyperbaric oxygen therapy on chronic brain injury. J Neurol Sci 2007; 253:94-105.</w:t>
      </w:r>
    </w:p>
  </w:endnote>
  <w:endnote w:id="155">
    <w:p w14:paraId="276D1131" w14:textId="77777777" w:rsidR="00B17EF4" w:rsidRPr="00C80762" w:rsidRDefault="00B17EF4" w:rsidP="00834472">
      <w:pPr>
        <w:pStyle w:val="HTMLPreformatted"/>
        <w:rPr>
          <w:rFonts w:ascii="Palatino Linotype" w:hAnsi="Palatino Linotype" w:cs="Arial"/>
          <w:sz w:val="22"/>
          <w:szCs w:val="22"/>
          <w:lang w:bidi="x-none"/>
        </w:rPr>
      </w:pPr>
      <w:r w:rsidRPr="00C80762">
        <w:rPr>
          <w:rStyle w:val="EndnoteReference2"/>
          <w:rFonts w:ascii="Palatino Linotype" w:eastAsiaTheme="majorEastAsia" w:hAnsi="Palatino Linotype" w:cs="Arial"/>
          <w:sz w:val="22"/>
          <w:szCs w:val="22"/>
        </w:rPr>
        <w:endnoteRef/>
      </w:r>
      <w:r w:rsidRPr="00C80762">
        <w:rPr>
          <w:rFonts w:ascii="Palatino Linotype" w:hAnsi="Palatino Linotype" w:cs="Arial"/>
          <w:sz w:val="22"/>
          <w:szCs w:val="22"/>
        </w:rPr>
        <w:t xml:space="preserve"> Neubauer RA, Gottlieb SF, Pevsner NH. Hyperbaric oxygen for treatment of closed head injury. South Med J 1994; 87:933-936.</w:t>
      </w:r>
    </w:p>
  </w:endnote>
  <w:endnote w:id="156">
    <w:p w14:paraId="1E39526E" w14:textId="77777777" w:rsidR="00B17EF4" w:rsidRPr="00C80762" w:rsidRDefault="00B17EF4" w:rsidP="00834472">
      <w:pPr>
        <w:pStyle w:val="EndnoteText2"/>
        <w:rPr>
          <w:rFonts w:ascii="Palatino Linotype" w:eastAsia="Times New Roman" w:hAnsi="Palatino Linotype" w:cs="Arial"/>
          <w:color w:val="auto"/>
          <w:sz w:val="22"/>
          <w:szCs w:val="22"/>
          <w:lang w:bidi="x-none"/>
        </w:rPr>
      </w:pPr>
      <w:r w:rsidRPr="00C80762">
        <w:rPr>
          <w:rStyle w:val="EndnoteReference2"/>
          <w:rFonts w:ascii="Palatino Linotype" w:hAnsi="Palatino Linotype" w:cs="Arial"/>
          <w:sz w:val="22"/>
          <w:szCs w:val="22"/>
        </w:rPr>
        <w:endnoteRef/>
      </w:r>
      <w:r w:rsidRPr="00C80762">
        <w:rPr>
          <w:rFonts w:ascii="Palatino Linotype" w:hAnsi="Palatino Linotype" w:cs="Arial"/>
          <w:sz w:val="22"/>
          <w:szCs w:val="22"/>
        </w:rPr>
        <w:t xml:space="preserve"> Golden Z, Golden CJ, Neubauer RA. Improving neuropsychological function after chronic brain injury with hyperbaric oxygen. Disability and Rehabilitation 2006; 28:1379-1386.</w:t>
      </w:r>
    </w:p>
  </w:endnote>
  <w:endnote w:id="157">
    <w:p w14:paraId="181C0055" w14:textId="77777777" w:rsidR="00B17EF4" w:rsidRPr="00C80762" w:rsidRDefault="00B17EF4" w:rsidP="00834472">
      <w:pPr>
        <w:pStyle w:val="HTMLPreformatted"/>
        <w:rPr>
          <w:rFonts w:ascii="Palatino Linotype" w:hAnsi="Palatino Linotype" w:cs="Arial"/>
          <w:sz w:val="22"/>
          <w:szCs w:val="22"/>
          <w:lang w:bidi="x-none"/>
        </w:rPr>
      </w:pPr>
      <w:r w:rsidRPr="00C80762">
        <w:rPr>
          <w:rStyle w:val="EndnoteReference2"/>
          <w:rFonts w:ascii="Palatino Linotype" w:eastAsiaTheme="majorEastAsia" w:hAnsi="Palatino Linotype" w:cs="Arial"/>
          <w:sz w:val="22"/>
          <w:szCs w:val="22"/>
        </w:rPr>
        <w:endnoteRef/>
      </w:r>
      <w:r w:rsidRPr="00C80762">
        <w:rPr>
          <w:rFonts w:ascii="Palatino Linotype" w:hAnsi="Palatino Linotype" w:cs="Arial"/>
          <w:sz w:val="22"/>
          <w:szCs w:val="22"/>
        </w:rPr>
        <w:t xml:space="preserve"> Harch PG, Fogarty EF, Staab PK, Van Meter K. Low pressure hyperbaric oxygen therapy and SPECT brain imaging in the treatment of blast-induced chronic traumatic brain injury (post-concussion syndrome) and </w:t>
      </w:r>
      <w:proofErr w:type="spellStart"/>
      <w:r w:rsidRPr="00C80762">
        <w:rPr>
          <w:rFonts w:ascii="Palatino Linotype" w:hAnsi="Palatino Linotype" w:cs="Arial"/>
          <w:sz w:val="22"/>
          <w:szCs w:val="22"/>
        </w:rPr>
        <w:t>post traumatic</w:t>
      </w:r>
      <w:proofErr w:type="spellEnd"/>
      <w:r w:rsidRPr="00C80762">
        <w:rPr>
          <w:rFonts w:ascii="Palatino Linotype" w:hAnsi="Palatino Linotype" w:cs="Arial"/>
          <w:sz w:val="22"/>
          <w:szCs w:val="22"/>
        </w:rPr>
        <w:t xml:space="preserve"> stress disorder: a case report. Cases J 2009; 2:6538.</w:t>
      </w:r>
    </w:p>
  </w:endnote>
  <w:endnote w:id="158">
    <w:p w14:paraId="05458377" w14:textId="77777777" w:rsidR="00B17EF4" w:rsidRPr="00C80762" w:rsidRDefault="00B17EF4" w:rsidP="00834472">
      <w:pPr>
        <w:pStyle w:val="EndnoteText2"/>
        <w:rPr>
          <w:rFonts w:ascii="Palatino Linotype" w:eastAsia="Times New Roman" w:hAnsi="Palatino Linotype"/>
          <w:color w:val="auto"/>
          <w:sz w:val="22"/>
          <w:szCs w:val="22"/>
          <w:lang w:bidi="x-none"/>
        </w:rPr>
      </w:pPr>
      <w:r w:rsidRPr="00C80762">
        <w:rPr>
          <w:rStyle w:val="EndnoteReference2"/>
          <w:rFonts w:ascii="Palatino Linotype" w:hAnsi="Palatino Linotype" w:cs="Arial"/>
          <w:sz w:val="22"/>
          <w:szCs w:val="22"/>
        </w:rPr>
        <w:endnoteRef/>
      </w:r>
      <w:r w:rsidRPr="00C80762">
        <w:rPr>
          <w:rFonts w:ascii="Palatino Linotype" w:hAnsi="Palatino Linotype" w:cs="Arial"/>
          <w:sz w:val="22"/>
          <w:szCs w:val="22"/>
        </w:rPr>
        <w:t xml:space="preserve"> Wright JK, Zant E, Groom K, Schlegel RE, Gilliland K. Case report: Treatment of mild traumatic brain injury with hyperbaric oxygen. Undersea </w:t>
      </w:r>
      <w:proofErr w:type="spellStart"/>
      <w:r w:rsidRPr="00C80762">
        <w:rPr>
          <w:rFonts w:ascii="Palatino Linotype" w:hAnsi="Palatino Linotype" w:cs="Arial"/>
          <w:sz w:val="22"/>
          <w:szCs w:val="22"/>
        </w:rPr>
        <w:t>Hyperb</w:t>
      </w:r>
      <w:proofErr w:type="spellEnd"/>
      <w:r w:rsidRPr="00C80762">
        <w:rPr>
          <w:rFonts w:ascii="Palatino Linotype" w:hAnsi="Palatino Linotype"/>
          <w:sz w:val="22"/>
          <w:szCs w:val="22"/>
        </w:rPr>
        <w:t xml:space="preserve"> Med 2009; 36:391-399.</w:t>
      </w:r>
    </w:p>
  </w:endnote>
  <w:endnote w:id="159">
    <w:p w14:paraId="56D123C0" w14:textId="77777777" w:rsidR="00B17EF4" w:rsidRPr="00C80762" w:rsidRDefault="00B17EF4" w:rsidP="00834472">
      <w:pPr>
        <w:pStyle w:val="HTMLPreformatted2"/>
        <w:rPr>
          <w:rFonts w:ascii="Palatino Linotype" w:eastAsia="Times New Roman" w:hAnsi="Palatino Linotype"/>
          <w:color w:val="auto"/>
          <w:sz w:val="22"/>
          <w:szCs w:val="22"/>
          <w:lang w:bidi="x-none"/>
        </w:rPr>
      </w:pPr>
      <w:r w:rsidRPr="00C80762">
        <w:rPr>
          <w:rStyle w:val="EndnoteReference2"/>
          <w:rFonts w:ascii="Palatino Linotype" w:hAnsi="Palatino Linotype"/>
          <w:sz w:val="22"/>
          <w:szCs w:val="22"/>
        </w:rPr>
        <w:endnoteRef/>
      </w:r>
      <w:r w:rsidRPr="00C80762">
        <w:rPr>
          <w:rFonts w:ascii="Palatino Linotype" w:hAnsi="Palatino Linotype"/>
          <w:sz w:val="22"/>
          <w:szCs w:val="22"/>
        </w:rPr>
        <w:t xml:space="preserve"> Harch PG, Andrews SR, Fogarty EF, et al. A phase I study of low-pressure hyperbaric oxygen therapy for blast-induced post-concussion syndrome and post-traumatic stress disorder. J Neurotrauma 2012; 29:168-185.  </w:t>
      </w:r>
    </w:p>
  </w:endnote>
  <w:endnote w:id="160">
    <w:p w14:paraId="30556D72" w14:textId="77777777" w:rsidR="00B17EF4" w:rsidRPr="00C80762" w:rsidRDefault="00B17EF4" w:rsidP="00834472">
      <w:pPr>
        <w:pStyle w:val="HTMLPreformatted1"/>
        <w:rPr>
          <w:rFonts w:ascii="Palatino Linotype" w:eastAsia="Times New Roman" w:hAnsi="Palatino Linotype"/>
          <w:color w:val="auto"/>
          <w:sz w:val="22"/>
          <w:szCs w:val="22"/>
          <w:lang w:bidi="x-none"/>
        </w:rPr>
      </w:pPr>
      <w:r w:rsidRPr="00C80762">
        <w:rPr>
          <w:rStyle w:val="EndnoteReference2"/>
          <w:rFonts w:ascii="Palatino Linotype" w:hAnsi="Palatino Linotype"/>
          <w:sz w:val="22"/>
          <w:szCs w:val="22"/>
        </w:rPr>
        <w:endnoteRef/>
      </w:r>
      <w:r w:rsidRPr="00C80762">
        <w:rPr>
          <w:rFonts w:ascii="Palatino Linotype" w:hAnsi="Palatino Linotype"/>
          <w:sz w:val="22"/>
          <w:szCs w:val="22"/>
        </w:rPr>
        <w:t xml:space="preserve"> Stoller KP. Hyperbaric oxygen therapy (1.5 ATA) in treating sports related TBI/CTE: two case reports. Med Gas Res 2011; 1:17.</w:t>
      </w:r>
    </w:p>
  </w:endnote>
  <w:endnote w:id="161">
    <w:p w14:paraId="58546915" w14:textId="77777777" w:rsidR="00B17EF4" w:rsidRPr="00C80762" w:rsidRDefault="00B17EF4" w:rsidP="00834472">
      <w:pPr>
        <w:pStyle w:val="HTMLPreformatted"/>
        <w:rPr>
          <w:rFonts w:ascii="Palatino Linotype" w:hAnsi="Palatino Linotype" w:cs="Arial"/>
          <w:sz w:val="22"/>
          <w:szCs w:val="22"/>
        </w:rPr>
      </w:pPr>
      <w:r w:rsidRPr="00C80762">
        <w:rPr>
          <w:rStyle w:val="EndnoteReference"/>
          <w:rFonts w:ascii="Palatino Linotype" w:hAnsi="Palatino Linotype" w:cs="Arial"/>
          <w:sz w:val="22"/>
          <w:szCs w:val="22"/>
        </w:rPr>
        <w:endnoteRef/>
      </w:r>
      <w:r w:rsidRPr="00C80762">
        <w:rPr>
          <w:rFonts w:ascii="Palatino Linotype" w:hAnsi="Palatino Linotype" w:cs="Arial"/>
          <w:sz w:val="22"/>
          <w:szCs w:val="22"/>
        </w:rPr>
        <w:t xml:space="preserve"> Perrins DJ, James PB. Hyperbaric oxygen therapy and multiple sclerosis. Undersea </w:t>
      </w:r>
      <w:proofErr w:type="spellStart"/>
      <w:r w:rsidRPr="00C80762">
        <w:rPr>
          <w:rFonts w:ascii="Palatino Linotype" w:hAnsi="Palatino Linotype" w:cs="Arial"/>
          <w:sz w:val="22"/>
          <w:szCs w:val="22"/>
        </w:rPr>
        <w:t>Hyperb</w:t>
      </w:r>
      <w:proofErr w:type="spellEnd"/>
      <w:r w:rsidRPr="00C80762">
        <w:rPr>
          <w:rFonts w:ascii="Palatino Linotype" w:hAnsi="Palatino Linotype" w:cs="Arial"/>
          <w:sz w:val="22"/>
          <w:szCs w:val="22"/>
        </w:rPr>
        <w:t xml:space="preserve"> Med 2002; 29:236-8.</w:t>
      </w:r>
    </w:p>
  </w:endnote>
  <w:endnote w:id="162">
    <w:p w14:paraId="39502D16" w14:textId="77777777" w:rsidR="00B17EF4" w:rsidRPr="00C80762" w:rsidRDefault="00B17EF4" w:rsidP="00834472">
      <w:pPr>
        <w:pStyle w:val="HTMLPreformatted"/>
        <w:rPr>
          <w:rFonts w:ascii="Palatino Linotype" w:hAnsi="Palatino Linotype" w:cs="Arial"/>
          <w:sz w:val="22"/>
          <w:szCs w:val="22"/>
        </w:rPr>
      </w:pPr>
      <w:r w:rsidRPr="00C80762">
        <w:rPr>
          <w:rStyle w:val="EndnoteReference"/>
          <w:rFonts w:ascii="Palatino Linotype" w:hAnsi="Palatino Linotype" w:cs="Arial"/>
          <w:sz w:val="22"/>
          <w:szCs w:val="22"/>
        </w:rPr>
        <w:endnoteRef/>
      </w:r>
      <w:r w:rsidRPr="00C80762">
        <w:rPr>
          <w:rFonts w:ascii="Palatino Linotype" w:hAnsi="Palatino Linotype" w:cs="Arial"/>
          <w:sz w:val="22"/>
          <w:szCs w:val="22"/>
        </w:rPr>
        <w:t xml:space="preserve"> </w:t>
      </w:r>
      <w:proofErr w:type="spellStart"/>
      <w:r w:rsidRPr="00C80762">
        <w:rPr>
          <w:rFonts w:ascii="Palatino Linotype" w:hAnsi="Palatino Linotype" w:cs="Arial"/>
          <w:sz w:val="22"/>
          <w:szCs w:val="22"/>
        </w:rPr>
        <w:t>Adamides</w:t>
      </w:r>
      <w:proofErr w:type="spellEnd"/>
      <w:r w:rsidRPr="00C80762">
        <w:rPr>
          <w:rFonts w:ascii="Palatino Linotype" w:hAnsi="Palatino Linotype" w:cs="Arial"/>
          <w:sz w:val="22"/>
          <w:szCs w:val="22"/>
        </w:rPr>
        <w:t xml:space="preserve"> AA, Winter CD, Lewis PM, Cooper DJ, Kossmann T, Rosenfeld JV. Current controversies in the management of patients with severe traumatic brain injury. ANZ J Surg 2006; 76:163-74.</w:t>
      </w:r>
    </w:p>
  </w:endnote>
  <w:endnote w:id="163">
    <w:p w14:paraId="53DE7264" w14:textId="77777777" w:rsidR="00B17EF4" w:rsidRPr="00C80762" w:rsidRDefault="00B17EF4" w:rsidP="00834472">
      <w:pPr>
        <w:pStyle w:val="EndnoteText1"/>
        <w:rPr>
          <w:rFonts w:ascii="Palatino Linotype" w:eastAsia="Times New Roman" w:hAnsi="Palatino Linotype" w:cs="Arial"/>
          <w:color w:val="auto"/>
          <w:sz w:val="22"/>
          <w:szCs w:val="22"/>
          <w:lang w:bidi="x-none"/>
        </w:rPr>
      </w:pPr>
      <w:r w:rsidRPr="00C80762">
        <w:rPr>
          <w:rStyle w:val="EndnoteReference1"/>
          <w:rFonts w:ascii="Palatino Linotype" w:hAnsi="Palatino Linotype" w:cs="Arial"/>
          <w:sz w:val="22"/>
          <w:szCs w:val="22"/>
        </w:rPr>
        <w:endnoteRef/>
      </w:r>
      <w:r w:rsidRPr="00C80762">
        <w:rPr>
          <w:rFonts w:ascii="Palatino Linotype" w:hAnsi="Palatino Linotype" w:cs="Arial"/>
          <w:sz w:val="22"/>
          <w:szCs w:val="22"/>
        </w:rPr>
        <w:t xml:space="preserve"> Smith G, Sharp GR. Treatment of carbon-monoxide poisoning with oxygen under pressure, Lancet 1960; 2:905.</w:t>
      </w:r>
    </w:p>
  </w:endnote>
  <w:endnote w:id="164">
    <w:p w14:paraId="17D75886" w14:textId="77777777" w:rsidR="00B17EF4" w:rsidRPr="00C80762" w:rsidRDefault="00B17EF4" w:rsidP="00834472">
      <w:pPr>
        <w:pStyle w:val="HTMLPreformatted1"/>
        <w:rPr>
          <w:rFonts w:ascii="Palatino Linotype" w:eastAsia="Times New Roman" w:hAnsi="Palatino Linotype"/>
          <w:color w:val="auto"/>
          <w:sz w:val="22"/>
          <w:szCs w:val="22"/>
          <w:lang w:bidi="x-none"/>
        </w:rPr>
      </w:pPr>
      <w:r w:rsidRPr="00C80762">
        <w:rPr>
          <w:rStyle w:val="EndnoteReference1"/>
          <w:rFonts w:ascii="Palatino Linotype" w:hAnsi="Palatino Linotype"/>
          <w:sz w:val="22"/>
          <w:szCs w:val="22"/>
        </w:rPr>
        <w:endnoteRef/>
      </w:r>
      <w:r w:rsidRPr="00C80762">
        <w:rPr>
          <w:rFonts w:ascii="Palatino Linotype" w:hAnsi="Palatino Linotype"/>
          <w:sz w:val="22"/>
          <w:szCs w:val="22"/>
        </w:rPr>
        <w:t xml:space="preserve"> Sluiter ME. The treatment of carbon monoxide poisoning by the administration of oxygen at high atmospheric pressure. Proc R Soc Med 1963; 56:1002-8.</w:t>
      </w:r>
    </w:p>
  </w:endnote>
  <w:endnote w:id="165">
    <w:p w14:paraId="3B6BB943" w14:textId="77777777" w:rsidR="00B17EF4" w:rsidRPr="00C80762" w:rsidRDefault="00B17EF4" w:rsidP="00834472">
      <w:pPr>
        <w:pStyle w:val="HTMLPreformatted1"/>
        <w:rPr>
          <w:rFonts w:ascii="Palatino Linotype" w:hAnsi="Palatino Linotype"/>
          <w:sz w:val="22"/>
          <w:szCs w:val="22"/>
        </w:rPr>
      </w:pPr>
      <w:r w:rsidRPr="00C80762">
        <w:rPr>
          <w:rStyle w:val="EndnoteReference1"/>
          <w:rFonts w:ascii="Palatino Linotype" w:hAnsi="Palatino Linotype"/>
          <w:sz w:val="22"/>
          <w:szCs w:val="22"/>
        </w:rPr>
        <w:endnoteRef/>
      </w:r>
      <w:r w:rsidRPr="00C80762">
        <w:rPr>
          <w:rFonts w:ascii="Palatino Linotype" w:hAnsi="Palatino Linotype"/>
          <w:sz w:val="22"/>
          <w:szCs w:val="22"/>
        </w:rPr>
        <w:t xml:space="preserve"> Duff JH, Shibata HR, Vanschaik L, Usher R, Wigmore RA, MacLean LD. Hyperbaric </w:t>
      </w:r>
    </w:p>
    <w:p w14:paraId="2EAF1C1A" w14:textId="77777777" w:rsidR="00B17EF4" w:rsidRPr="00C80762" w:rsidRDefault="00B17EF4" w:rsidP="0083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2"/>
          <w:szCs w:val="22"/>
          <w:lang w:bidi="x-none"/>
        </w:rPr>
      </w:pPr>
      <w:r w:rsidRPr="00C80762">
        <w:rPr>
          <w:sz w:val="22"/>
          <w:szCs w:val="22"/>
        </w:rPr>
        <w:t>oxygen: a review of treatment in eighty-three patients. Can Med Assoc J 1967; 97:510-5.</w:t>
      </w:r>
    </w:p>
  </w:endnote>
  <w:endnote w:id="166">
    <w:p w14:paraId="0ED5E658" w14:textId="77777777" w:rsidR="00B17EF4" w:rsidRPr="00C80762" w:rsidRDefault="00B17EF4" w:rsidP="00834472">
      <w:pPr>
        <w:pStyle w:val="HTMLPreformatted1"/>
        <w:rPr>
          <w:rFonts w:ascii="Palatino Linotype" w:eastAsia="Times New Roman" w:hAnsi="Palatino Linotype"/>
          <w:color w:val="auto"/>
          <w:sz w:val="22"/>
          <w:szCs w:val="22"/>
          <w:lang w:bidi="x-none"/>
        </w:rPr>
      </w:pPr>
      <w:r w:rsidRPr="00C80762">
        <w:rPr>
          <w:rStyle w:val="EndnoteReference1"/>
          <w:rFonts w:ascii="Palatino Linotype" w:hAnsi="Palatino Linotype"/>
          <w:sz w:val="22"/>
          <w:szCs w:val="22"/>
        </w:rPr>
        <w:endnoteRef/>
      </w:r>
      <w:r w:rsidRPr="00C80762">
        <w:rPr>
          <w:rFonts w:ascii="Palatino Linotype" w:hAnsi="Palatino Linotype"/>
          <w:sz w:val="22"/>
          <w:szCs w:val="22"/>
        </w:rPr>
        <w:t xml:space="preserve"> Hart GB, Thompson RE. The treatment of cerebral ischemia with hyperbaric oxygen (OHP). Stroke 1971; 2:247-50.</w:t>
      </w:r>
    </w:p>
  </w:endnote>
  <w:endnote w:id="167">
    <w:p w14:paraId="3EF269BA" w14:textId="77777777" w:rsidR="00B17EF4" w:rsidRPr="00C80762" w:rsidRDefault="00B17EF4" w:rsidP="00834472">
      <w:pPr>
        <w:pStyle w:val="HTMLPreformatted1"/>
        <w:rPr>
          <w:rFonts w:ascii="Palatino Linotype" w:hAnsi="Palatino Linotype"/>
          <w:sz w:val="22"/>
          <w:szCs w:val="22"/>
        </w:rPr>
      </w:pPr>
      <w:r w:rsidRPr="00C80762">
        <w:rPr>
          <w:rStyle w:val="EndnoteReference1"/>
          <w:rFonts w:ascii="Palatino Linotype" w:hAnsi="Palatino Linotype"/>
          <w:sz w:val="22"/>
          <w:szCs w:val="22"/>
        </w:rPr>
        <w:endnoteRef/>
      </w:r>
      <w:r w:rsidRPr="00C80762">
        <w:rPr>
          <w:rFonts w:ascii="Palatino Linotype" w:hAnsi="Palatino Linotype"/>
          <w:sz w:val="22"/>
          <w:szCs w:val="22"/>
        </w:rPr>
        <w:t xml:space="preserve"> Neubauer RA, James P. Cerebral oxygenation and the recoverable brain. Neurol</w:t>
      </w:r>
    </w:p>
    <w:p w14:paraId="74CEE167" w14:textId="77777777" w:rsidR="00B17EF4" w:rsidRPr="00C80762" w:rsidRDefault="00B17EF4" w:rsidP="00834472">
      <w:pPr>
        <w:pStyle w:val="EndnoteText1"/>
        <w:rPr>
          <w:rFonts w:ascii="Palatino Linotype" w:eastAsia="Times New Roman" w:hAnsi="Palatino Linotype"/>
          <w:color w:val="auto"/>
          <w:sz w:val="22"/>
          <w:szCs w:val="22"/>
          <w:lang w:bidi="x-none"/>
        </w:rPr>
      </w:pPr>
      <w:r w:rsidRPr="00C80762">
        <w:rPr>
          <w:rFonts w:ascii="Palatino Linotype" w:hAnsi="Palatino Linotype"/>
          <w:sz w:val="22"/>
          <w:szCs w:val="22"/>
        </w:rPr>
        <w:t xml:space="preserve">Res 1998; 20 Suppl </w:t>
      </w:r>
      <w:proofErr w:type="gramStart"/>
      <w:r w:rsidRPr="00C80762">
        <w:rPr>
          <w:rFonts w:ascii="Palatino Linotype" w:hAnsi="Palatino Linotype"/>
          <w:sz w:val="22"/>
          <w:szCs w:val="22"/>
        </w:rPr>
        <w:t>1:S</w:t>
      </w:r>
      <w:proofErr w:type="gramEnd"/>
      <w:r w:rsidRPr="00C80762">
        <w:rPr>
          <w:rFonts w:ascii="Palatino Linotype" w:hAnsi="Palatino Linotype"/>
          <w:sz w:val="22"/>
          <w:szCs w:val="22"/>
        </w:rPr>
        <w:t>33-6.</w:t>
      </w:r>
    </w:p>
  </w:endnote>
  <w:endnote w:id="168">
    <w:p w14:paraId="3FAA2EA5" w14:textId="77777777" w:rsidR="00B17EF4" w:rsidRPr="00C80762" w:rsidRDefault="00B17EF4" w:rsidP="00834472">
      <w:pPr>
        <w:pStyle w:val="HTMLPreformatted"/>
        <w:rPr>
          <w:rFonts w:ascii="Palatino Linotype" w:hAnsi="Palatino Linotype" w:cs="Arial"/>
          <w:sz w:val="22"/>
          <w:szCs w:val="22"/>
          <w:lang w:bidi="x-none"/>
        </w:rPr>
      </w:pPr>
      <w:r w:rsidRPr="00C80762">
        <w:rPr>
          <w:rStyle w:val="EndnoteReference2"/>
          <w:rFonts w:ascii="Palatino Linotype" w:eastAsiaTheme="majorEastAsia" w:hAnsi="Palatino Linotype" w:cs="Arial"/>
          <w:sz w:val="22"/>
          <w:szCs w:val="22"/>
        </w:rPr>
        <w:endnoteRef/>
      </w:r>
      <w:r w:rsidRPr="00C80762">
        <w:rPr>
          <w:rFonts w:ascii="Palatino Linotype" w:hAnsi="Palatino Linotype" w:cs="Arial"/>
          <w:sz w:val="22"/>
          <w:szCs w:val="22"/>
          <w:lang w:val="de-DE"/>
        </w:rPr>
        <w:t xml:space="preserve"> Harch PG, </w:t>
      </w:r>
      <w:proofErr w:type="spellStart"/>
      <w:r w:rsidRPr="00C80762">
        <w:rPr>
          <w:rFonts w:ascii="Palatino Linotype" w:hAnsi="Palatino Linotype" w:cs="Arial"/>
          <w:sz w:val="22"/>
          <w:szCs w:val="22"/>
          <w:lang w:val="de-DE"/>
        </w:rPr>
        <w:t>Kriedt</w:t>
      </w:r>
      <w:proofErr w:type="spellEnd"/>
      <w:r w:rsidRPr="00C80762">
        <w:rPr>
          <w:rFonts w:ascii="Palatino Linotype" w:hAnsi="Palatino Linotype" w:cs="Arial"/>
          <w:sz w:val="22"/>
          <w:szCs w:val="22"/>
          <w:lang w:val="de-DE"/>
        </w:rPr>
        <w:t xml:space="preserve"> C, Van Meter KW, Sutherland RJ. </w:t>
      </w:r>
      <w:r w:rsidRPr="00C80762">
        <w:rPr>
          <w:rFonts w:ascii="Palatino Linotype" w:hAnsi="Palatino Linotype" w:cs="Arial"/>
          <w:sz w:val="22"/>
          <w:szCs w:val="22"/>
        </w:rPr>
        <w:t>Hyperbaric oxygen therapy improves spatial learning and memory in a rat model of chronic traumatic brain injury. Brain Res 2007; 1174:120-129.</w:t>
      </w:r>
    </w:p>
  </w:endnote>
  <w:endnote w:id="169">
    <w:p w14:paraId="7ECC3E17" w14:textId="77777777" w:rsidR="00B17EF4" w:rsidRPr="00C80762" w:rsidRDefault="00B17EF4" w:rsidP="00834472">
      <w:pPr>
        <w:pStyle w:val="EndnoteText2"/>
        <w:rPr>
          <w:rFonts w:ascii="Palatino Linotype" w:eastAsia="Times New Roman" w:hAnsi="Palatino Linotype"/>
          <w:color w:val="auto"/>
          <w:sz w:val="22"/>
          <w:szCs w:val="22"/>
          <w:lang w:bidi="x-none"/>
        </w:rPr>
      </w:pPr>
      <w:r w:rsidRPr="00C80762">
        <w:rPr>
          <w:rStyle w:val="EndnoteReference2"/>
          <w:rFonts w:ascii="Palatino Linotype" w:hAnsi="Palatino Linotype" w:cs="Arial"/>
          <w:sz w:val="22"/>
          <w:szCs w:val="22"/>
        </w:rPr>
        <w:endnoteRef/>
      </w:r>
      <w:r w:rsidRPr="00C80762">
        <w:rPr>
          <w:rFonts w:ascii="Palatino Linotype" w:hAnsi="Palatino Linotype" w:cs="Arial"/>
          <w:sz w:val="22"/>
          <w:szCs w:val="22"/>
          <w:lang w:val="de-DE"/>
        </w:rPr>
        <w:t xml:space="preserve"> Paris JJ, Schreiber MD, </w:t>
      </w:r>
      <w:proofErr w:type="spellStart"/>
      <w:r w:rsidRPr="00C80762">
        <w:rPr>
          <w:rFonts w:ascii="Palatino Linotype" w:hAnsi="Palatino Linotype" w:cs="Arial"/>
          <w:sz w:val="22"/>
          <w:szCs w:val="22"/>
          <w:lang w:val="de-DE"/>
        </w:rPr>
        <w:t>Reardon</w:t>
      </w:r>
      <w:proofErr w:type="spellEnd"/>
      <w:r w:rsidRPr="00C80762">
        <w:rPr>
          <w:rFonts w:ascii="Palatino Linotype" w:hAnsi="Palatino Linotype" w:cs="Arial"/>
          <w:sz w:val="22"/>
          <w:szCs w:val="22"/>
          <w:lang w:val="de-DE"/>
        </w:rPr>
        <w:t xml:space="preserve"> FE. </w:t>
      </w:r>
      <w:r w:rsidRPr="00C80762">
        <w:rPr>
          <w:rFonts w:ascii="Palatino Linotype" w:hAnsi="Palatino Linotype" w:cs="Arial"/>
          <w:sz w:val="22"/>
          <w:szCs w:val="22"/>
        </w:rPr>
        <w:t>Hyperbaric oxygen therapy for a neurologically devastated child</w:t>
      </w:r>
      <w:r w:rsidRPr="00C80762">
        <w:rPr>
          <w:rFonts w:ascii="Palatino Linotype" w:hAnsi="Palatino Linotype"/>
          <w:sz w:val="22"/>
          <w:szCs w:val="22"/>
        </w:rPr>
        <w:t xml:space="preserve">: whose decision is it? </w:t>
      </w:r>
      <w:r w:rsidRPr="00C80762">
        <w:rPr>
          <w:rFonts w:ascii="Palatino Linotype" w:hAnsi="Palatino Linotype"/>
          <w:sz w:val="22"/>
          <w:szCs w:val="22"/>
          <w:lang w:val="de-DE"/>
        </w:rPr>
        <w:t xml:space="preserve">J </w:t>
      </w:r>
      <w:proofErr w:type="spellStart"/>
      <w:r w:rsidRPr="00C80762">
        <w:rPr>
          <w:rFonts w:ascii="Palatino Linotype" w:hAnsi="Palatino Linotype"/>
          <w:sz w:val="22"/>
          <w:szCs w:val="22"/>
          <w:lang w:val="de-DE"/>
        </w:rPr>
        <w:t>Perinatol</w:t>
      </w:r>
      <w:proofErr w:type="spellEnd"/>
      <w:r w:rsidRPr="00C80762">
        <w:rPr>
          <w:rFonts w:ascii="Palatino Linotype" w:hAnsi="Palatino Linotype"/>
          <w:sz w:val="22"/>
          <w:szCs w:val="22"/>
          <w:lang w:val="de-DE"/>
        </w:rPr>
        <w:t xml:space="preserve"> 2003; 23:250-253.</w:t>
      </w:r>
    </w:p>
  </w:endnote>
  <w:endnote w:id="170">
    <w:p w14:paraId="7C76E380" w14:textId="77777777" w:rsidR="00B17EF4" w:rsidRPr="00C80762" w:rsidRDefault="00B17EF4" w:rsidP="00834472">
      <w:pPr>
        <w:pStyle w:val="HTMLPreformatted"/>
        <w:rPr>
          <w:rFonts w:ascii="Palatino Linotype" w:hAnsi="Palatino Linotype" w:cs="Arial"/>
          <w:sz w:val="22"/>
          <w:szCs w:val="22"/>
        </w:rPr>
      </w:pPr>
      <w:r w:rsidRPr="00C80762">
        <w:rPr>
          <w:rStyle w:val="EndnoteReference"/>
          <w:rFonts w:ascii="Palatino Linotype" w:hAnsi="Palatino Linotype" w:cs="Arial"/>
          <w:sz w:val="22"/>
          <w:szCs w:val="22"/>
        </w:rPr>
        <w:endnoteRef/>
      </w:r>
      <w:r w:rsidRPr="00C80762">
        <w:rPr>
          <w:rFonts w:ascii="Palatino Linotype" w:hAnsi="Palatino Linotype" w:cs="Arial"/>
          <w:sz w:val="22"/>
          <w:szCs w:val="22"/>
          <w:lang w:val="de-DE"/>
        </w:rPr>
        <w:t xml:space="preserve"> Kroenke K, Spitzer RL, Williams JB. </w:t>
      </w:r>
      <w:r w:rsidRPr="00C80762">
        <w:rPr>
          <w:rFonts w:ascii="Palatino Linotype" w:hAnsi="Palatino Linotype" w:cs="Arial"/>
          <w:sz w:val="22"/>
          <w:szCs w:val="22"/>
        </w:rPr>
        <w:t xml:space="preserve">The PHQ-9: validity of a brief depression severity measure. J Gen Intern Med 2001; 16:606-613. </w:t>
      </w:r>
    </w:p>
  </w:endnote>
  <w:endnote w:id="171">
    <w:p w14:paraId="78029C1C" w14:textId="77777777" w:rsidR="00B17EF4" w:rsidRPr="00C80762" w:rsidRDefault="00B17EF4" w:rsidP="00834472">
      <w:pPr>
        <w:pStyle w:val="HTMLPreformatted"/>
        <w:rPr>
          <w:rFonts w:ascii="Palatino Linotype" w:hAnsi="Palatino Linotype" w:cs="Arial"/>
          <w:sz w:val="22"/>
          <w:szCs w:val="22"/>
        </w:rPr>
      </w:pPr>
      <w:r w:rsidRPr="00C80762">
        <w:rPr>
          <w:rStyle w:val="EndnoteReference"/>
          <w:rFonts w:ascii="Palatino Linotype" w:hAnsi="Palatino Linotype" w:cs="Arial"/>
          <w:sz w:val="22"/>
          <w:szCs w:val="22"/>
        </w:rPr>
        <w:endnoteRef/>
      </w:r>
      <w:r w:rsidRPr="00C80762">
        <w:rPr>
          <w:rFonts w:ascii="Palatino Linotype" w:hAnsi="Palatino Linotype" w:cs="Arial"/>
          <w:sz w:val="22"/>
          <w:szCs w:val="22"/>
        </w:rPr>
        <w:t xml:space="preserve"> King NS, Crawford S, Wenden FJ, Moss NE, Wade DT. The Rivermead Post Concussion Symptoms Questionnaire: a measure of symptoms commonly experienced after head injury and its reliability. J Neurol 1995; 242:587-592.</w:t>
      </w:r>
    </w:p>
  </w:endnote>
  <w:endnote w:id="172">
    <w:p w14:paraId="172BCCB2" w14:textId="77777777" w:rsidR="00B17EF4" w:rsidRPr="00C80762" w:rsidRDefault="00B17EF4" w:rsidP="00834472">
      <w:pPr>
        <w:pStyle w:val="HTMLPreformatted2"/>
        <w:rPr>
          <w:rFonts w:ascii="Palatino Linotype" w:eastAsia="Times New Roman" w:hAnsi="Palatino Linotype"/>
          <w:color w:val="auto"/>
          <w:sz w:val="22"/>
          <w:szCs w:val="22"/>
          <w:lang w:bidi="x-none"/>
        </w:rPr>
      </w:pPr>
      <w:r w:rsidRPr="00C80762">
        <w:rPr>
          <w:rStyle w:val="EndnoteReference1"/>
          <w:rFonts w:ascii="Palatino Linotype" w:hAnsi="Palatino Linotype"/>
          <w:sz w:val="22"/>
          <w:szCs w:val="22"/>
        </w:rPr>
        <w:endnoteRef/>
      </w:r>
      <w:r w:rsidRPr="00C80762">
        <w:rPr>
          <w:rFonts w:ascii="Palatino Linotype" w:hAnsi="Palatino Linotype"/>
          <w:sz w:val="22"/>
          <w:szCs w:val="22"/>
        </w:rPr>
        <w:t xml:space="preserve"> Vincent AS, Bleiberg J, Yan S, et al. Reference data from the Automated Neuropsychological Assessment Metrics for use in traumatic brain injury in an </w:t>
      </w:r>
      <w:proofErr w:type="gramStart"/>
      <w:r w:rsidRPr="00C80762">
        <w:rPr>
          <w:rFonts w:ascii="Palatino Linotype" w:hAnsi="Palatino Linotype"/>
          <w:sz w:val="22"/>
          <w:szCs w:val="22"/>
        </w:rPr>
        <w:t>active duty</w:t>
      </w:r>
      <w:proofErr w:type="gramEnd"/>
      <w:r w:rsidRPr="00C80762">
        <w:rPr>
          <w:rFonts w:ascii="Palatino Linotype" w:hAnsi="Palatino Linotype"/>
          <w:sz w:val="22"/>
          <w:szCs w:val="22"/>
        </w:rPr>
        <w:t xml:space="preserve"> military sample.  Mil Med 2008; 173:836–852.</w:t>
      </w:r>
    </w:p>
  </w:endnote>
  <w:endnote w:id="173">
    <w:p w14:paraId="06587926" w14:textId="77777777" w:rsidR="00B17EF4" w:rsidRPr="00C80762" w:rsidRDefault="00B17EF4" w:rsidP="0083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sz w:val="22"/>
          <w:szCs w:val="22"/>
          <w:lang w:bidi="x-none"/>
        </w:rPr>
      </w:pPr>
      <w:r w:rsidRPr="00C80762">
        <w:rPr>
          <w:rStyle w:val="EndnoteReference1"/>
          <w:sz w:val="22"/>
          <w:szCs w:val="22"/>
        </w:rPr>
        <w:endnoteRef/>
      </w:r>
      <w:r w:rsidRPr="00C80762">
        <w:rPr>
          <w:sz w:val="22"/>
          <w:szCs w:val="22"/>
        </w:rPr>
        <w:t xml:space="preserve"> Cernich A, Reeves D, Sun W, Bleiberg J. Automated Neuropsychological Assessment Metrics Sports Medicine Battery.  Arch Clin </w:t>
      </w:r>
      <w:proofErr w:type="spellStart"/>
      <w:r w:rsidRPr="00C80762">
        <w:rPr>
          <w:sz w:val="22"/>
          <w:szCs w:val="22"/>
        </w:rPr>
        <w:t>Neuropsychol</w:t>
      </w:r>
      <w:proofErr w:type="spellEnd"/>
      <w:r w:rsidRPr="00C80762">
        <w:rPr>
          <w:sz w:val="22"/>
          <w:szCs w:val="22"/>
        </w:rPr>
        <w:t xml:space="preserve"> 2007; 22 Suppl </w:t>
      </w:r>
      <w:proofErr w:type="gramStart"/>
      <w:r w:rsidRPr="00C80762">
        <w:rPr>
          <w:sz w:val="22"/>
          <w:szCs w:val="22"/>
        </w:rPr>
        <w:t>1:S</w:t>
      </w:r>
      <w:proofErr w:type="gramEnd"/>
      <w:r w:rsidRPr="00C80762">
        <w:rPr>
          <w:sz w:val="22"/>
          <w:szCs w:val="22"/>
        </w:rPr>
        <w:t>101–14.</w:t>
      </w:r>
    </w:p>
  </w:endnote>
  <w:endnote w:id="174">
    <w:p w14:paraId="0B2C47ED" w14:textId="77777777" w:rsidR="00B17EF4" w:rsidRPr="00C80762" w:rsidRDefault="00B17EF4" w:rsidP="008344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sz w:val="22"/>
          <w:szCs w:val="22"/>
          <w:lang w:bidi="x-none"/>
        </w:rPr>
      </w:pPr>
      <w:r w:rsidRPr="00C80762">
        <w:rPr>
          <w:rStyle w:val="EndnoteReference1"/>
          <w:sz w:val="22"/>
          <w:szCs w:val="22"/>
        </w:rPr>
        <w:endnoteRef/>
      </w:r>
      <w:r w:rsidRPr="00C80762">
        <w:rPr>
          <w:sz w:val="22"/>
          <w:szCs w:val="22"/>
        </w:rPr>
        <w:t xml:space="preserve"> </w:t>
      </w:r>
      <w:proofErr w:type="spellStart"/>
      <w:r w:rsidRPr="00C80762">
        <w:rPr>
          <w:sz w:val="22"/>
          <w:szCs w:val="22"/>
        </w:rPr>
        <w:t>Segalowitz</w:t>
      </w:r>
      <w:proofErr w:type="spellEnd"/>
      <w:r w:rsidRPr="00C80762">
        <w:rPr>
          <w:sz w:val="22"/>
          <w:szCs w:val="22"/>
        </w:rPr>
        <w:t xml:space="preserve"> SJ, Mahaney P, </w:t>
      </w:r>
      <w:proofErr w:type="spellStart"/>
      <w:r w:rsidRPr="00C80762">
        <w:rPr>
          <w:sz w:val="22"/>
          <w:szCs w:val="22"/>
        </w:rPr>
        <w:t>Santesso</w:t>
      </w:r>
      <w:proofErr w:type="spellEnd"/>
      <w:r w:rsidRPr="00C80762">
        <w:rPr>
          <w:sz w:val="22"/>
          <w:szCs w:val="22"/>
        </w:rPr>
        <w:t xml:space="preserve"> DL, MacGregor L, Dywan J, Willer B. Retest reliability in adolescents of a computerized neuropsychological battery used to assess recovery from </w:t>
      </w:r>
      <w:r w:rsidRPr="00C80762">
        <w:rPr>
          <w:rFonts w:cs="Arial"/>
          <w:sz w:val="22"/>
          <w:szCs w:val="22"/>
        </w:rPr>
        <w:t xml:space="preserve">concussion.  </w:t>
      </w:r>
      <w:proofErr w:type="spellStart"/>
      <w:r w:rsidRPr="00C80762">
        <w:rPr>
          <w:rFonts w:cs="Arial"/>
          <w:sz w:val="22"/>
          <w:szCs w:val="22"/>
        </w:rPr>
        <w:t>NeuroRehabilitation</w:t>
      </w:r>
      <w:proofErr w:type="spellEnd"/>
      <w:r w:rsidRPr="00C80762">
        <w:rPr>
          <w:rFonts w:cs="Arial"/>
          <w:sz w:val="22"/>
          <w:szCs w:val="22"/>
        </w:rPr>
        <w:t xml:space="preserve"> 2007; 22:243–51.</w:t>
      </w:r>
    </w:p>
  </w:endnote>
  <w:endnote w:id="175">
    <w:p w14:paraId="3CD00D83" w14:textId="77777777" w:rsidR="00B17EF4" w:rsidRPr="00C80762" w:rsidRDefault="00B17EF4" w:rsidP="00834472">
      <w:pPr>
        <w:pStyle w:val="HTMLPreformatted"/>
        <w:rPr>
          <w:rFonts w:ascii="Palatino Linotype" w:hAnsi="Palatino Linotype"/>
          <w:sz w:val="22"/>
          <w:szCs w:val="22"/>
        </w:rPr>
      </w:pPr>
      <w:r w:rsidRPr="00C80762">
        <w:rPr>
          <w:rStyle w:val="EndnoteReference"/>
          <w:rFonts w:ascii="Palatino Linotype" w:hAnsi="Palatino Linotype" w:cs="Arial"/>
          <w:sz w:val="22"/>
          <w:szCs w:val="22"/>
        </w:rPr>
        <w:endnoteRef/>
      </w:r>
      <w:r w:rsidRPr="00C80762">
        <w:rPr>
          <w:rFonts w:ascii="Palatino Linotype" w:hAnsi="Palatino Linotype" w:cs="Arial"/>
          <w:sz w:val="22"/>
          <w:szCs w:val="22"/>
        </w:rPr>
        <w:t xml:space="preserve"> Johnson DR, Vincent AS, Johnson AE, Gilliland K, Schlegel RE. Reliability and construct validity of the Automated Neuropsychological Assessment Metrics (ANAM) mood scale. Arch Clin </w:t>
      </w:r>
      <w:proofErr w:type="spellStart"/>
      <w:r w:rsidRPr="00C80762">
        <w:rPr>
          <w:rFonts w:ascii="Palatino Linotype" w:hAnsi="Palatino Linotype" w:cs="Arial"/>
          <w:sz w:val="22"/>
          <w:szCs w:val="22"/>
        </w:rPr>
        <w:t>Neuropsychol</w:t>
      </w:r>
      <w:proofErr w:type="spellEnd"/>
      <w:r w:rsidRPr="00C80762">
        <w:rPr>
          <w:rFonts w:ascii="Palatino Linotype" w:hAnsi="Palatino Linotype" w:cs="Arial"/>
          <w:sz w:val="22"/>
          <w:szCs w:val="22"/>
        </w:rPr>
        <w:t xml:space="preserve"> 2008; 23:73-85</w:t>
      </w:r>
      <w:r w:rsidRPr="00C80762">
        <w:rPr>
          <w:rFonts w:ascii="Palatino Linotype" w:hAnsi="Palatino Linotype"/>
          <w:sz w:val="22"/>
          <w:szCs w:val="22"/>
        </w:rPr>
        <w:t>.</w:t>
      </w:r>
    </w:p>
  </w:endnote>
  <w:endnote w:id="176">
    <w:p w14:paraId="14A34032" w14:textId="77777777" w:rsidR="00B17EF4" w:rsidRPr="00C80762" w:rsidRDefault="00B17EF4" w:rsidP="00834472">
      <w:pPr>
        <w:pStyle w:val="HTMLPreformatted1"/>
        <w:rPr>
          <w:rFonts w:ascii="Palatino Linotype" w:eastAsia="Times New Roman" w:hAnsi="Palatino Linotype" w:cs="Arial"/>
          <w:color w:val="auto"/>
          <w:sz w:val="22"/>
          <w:szCs w:val="22"/>
          <w:lang w:bidi="x-none"/>
        </w:rPr>
      </w:pPr>
      <w:r w:rsidRPr="00C80762">
        <w:rPr>
          <w:rStyle w:val="EndnoteReference1"/>
          <w:rFonts w:ascii="Palatino Linotype" w:hAnsi="Palatino Linotype" w:cs="Arial"/>
          <w:sz w:val="22"/>
          <w:szCs w:val="22"/>
        </w:rPr>
        <w:endnoteRef/>
      </w:r>
      <w:r w:rsidRPr="00C80762">
        <w:rPr>
          <w:rFonts w:ascii="Palatino Linotype" w:hAnsi="Palatino Linotype" w:cs="Arial"/>
          <w:sz w:val="22"/>
          <w:szCs w:val="22"/>
        </w:rPr>
        <w:t xml:space="preserve"> Gualtieri CT, Johnson LG. A computerized test battery sensitive to mild and severe brain injury. Medscape J Med. 2008; 10:90.</w:t>
      </w:r>
    </w:p>
  </w:endnote>
  <w:endnote w:id="177">
    <w:p w14:paraId="55E27D54" w14:textId="77777777" w:rsidR="00B17EF4" w:rsidRPr="00C80762" w:rsidRDefault="00B17EF4" w:rsidP="00834472">
      <w:pPr>
        <w:pStyle w:val="HTMLPreformatted"/>
        <w:rPr>
          <w:rFonts w:ascii="Palatino Linotype" w:hAnsi="Palatino Linotype" w:cs="Arial"/>
          <w:sz w:val="22"/>
          <w:szCs w:val="22"/>
        </w:rPr>
      </w:pPr>
      <w:r w:rsidRPr="00C80762">
        <w:rPr>
          <w:rStyle w:val="EndnoteReference"/>
          <w:rFonts w:ascii="Palatino Linotype" w:hAnsi="Palatino Linotype" w:cs="Arial"/>
          <w:sz w:val="22"/>
          <w:szCs w:val="22"/>
        </w:rPr>
        <w:endnoteRef/>
      </w:r>
      <w:r w:rsidRPr="00C80762">
        <w:rPr>
          <w:rFonts w:ascii="Palatino Linotype" w:hAnsi="Palatino Linotype" w:cs="Arial"/>
          <w:sz w:val="22"/>
          <w:szCs w:val="22"/>
        </w:rPr>
        <w:t xml:space="preserve"> Gualtieri CT, Johnson LG. Reliability and validity of a computerized neurocognitive test battery, CNS Vital Signs. Arch Clin </w:t>
      </w:r>
      <w:proofErr w:type="spellStart"/>
      <w:r w:rsidRPr="00C80762">
        <w:rPr>
          <w:rFonts w:ascii="Palatino Linotype" w:hAnsi="Palatino Linotype" w:cs="Arial"/>
          <w:sz w:val="22"/>
          <w:szCs w:val="22"/>
        </w:rPr>
        <w:t>Neuropsychol</w:t>
      </w:r>
      <w:proofErr w:type="spellEnd"/>
      <w:r w:rsidRPr="00C80762">
        <w:rPr>
          <w:rFonts w:ascii="Palatino Linotype" w:hAnsi="Palatino Linotype" w:cs="Arial"/>
          <w:sz w:val="22"/>
          <w:szCs w:val="22"/>
        </w:rPr>
        <w:t xml:space="preserve"> 2006; 21:623-643. </w:t>
      </w:r>
    </w:p>
  </w:endnote>
  <w:endnote w:id="178">
    <w:p w14:paraId="6CEEDE13" w14:textId="77777777" w:rsidR="00B17EF4" w:rsidRPr="00C80762" w:rsidRDefault="00B17EF4" w:rsidP="00834472">
      <w:pPr>
        <w:pStyle w:val="HTMLPreformatted"/>
        <w:rPr>
          <w:rFonts w:ascii="Palatino Linotype" w:hAnsi="Palatino Linotype" w:cs="Arial"/>
          <w:sz w:val="22"/>
          <w:szCs w:val="22"/>
          <w:lang w:bidi="x-none"/>
        </w:rPr>
      </w:pPr>
      <w:r w:rsidRPr="00C80762">
        <w:rPr>
          <w:rStyle w:val="EndnoteReference2"/>
          <w:rFonts w:ascii="Palatino Linotype" w:eastAsiaTheme="majorEastAsia" w:hAnsi="Palatino Linotype" w:cs="Arial"/>
          <w:sz w:val="22"/>
          <w:szCs w:val="22"/>
        </w:rPr>
        <w:endnoteRef/>
      </w:r>
      <w:r w:rsidRPr="00C80762">
        <w:rPr>
          <w:rFonts w:ascii="Palatino Linotype" w:hAnsi="Palatino Linotype" w:cs="Arial"/>
          <w:sz w:val="22"/>
          <w:szCs w:val="22"/>
        </w:rPr>
        <w:t xml:space="preserve"> Neubauer RA, Gottlieb SF, Kagan RL. Enhancing "idling" neurons. Lancet 1990; 35(8688):542.</w:t>
      </w:r>
    </w:p>
  </w:endnote>
  <w:endnote w:id="179">
    <w:p w14:paraId="22CA6196" w14:textId="77777777" w:rsidR="00B17EF4" w:rsidRPr="00C80762" w:rsidRDefault="00B17EF4" w:rsidP="00834472">
      <w:pPr>
        <w:pStyle w:val="EndnoteText2"/>
        <w:rPr>
          <w:rFonts w:ascii="Palatino Linotype" w:eastAsia="Times New Roman" w:hAnsi="Palatino Linotype"/>
          <w:color w:val="auto"/>
          <w:sz w:val="22"/>
          <w:szCs w:val="22"/>
          <w:lang w:bidi="x-none"/>
        </w:rPr>
      </w:pPr>
      <w:r w:rsidRPr="00C80762">
        <w:rPr>
          <w:rStyle w:val="EndnoteReference2"/>
          <w:rFonts w:ascii="Palatino Linotype" w:hAnsi="Palatino Linotype" w:cs="Arial"/>
          <w:sz w:val="22"/>
          <w:szCs w:val="22"/>
        </w:rPr>
        <w:endnoteRef/>
      </w:r>
      <w:r w:rsidRPr="00C80762">
        <w:rPr>
          <w:rFonts w:ascii="Palatino Linotype" w:hAnsi="Palatino Linotype" w:cs="Arial"/>
          <w:sz w:val="22"/>
          <w:szCs w:val="22"/>
        </w:rPr>
        <w:t xml:space="preserve"> Clark J. Side Effects, In: Gesell LB, ed. Hyperbaric Oxygen Therapy Indications, 12th ed., Durham</w:t>
      </w:r>
      <w:r w:rsidRPr="00C80762">
        <w:rPr>
          <w:rFonts w:ascii="Palatino Linotype" w:hAnsi="Palatino Linotype"/>
          <w:sz w:val="22"/>
          <w:szCs w:val="22"/>
        </w:rPr>
        <w:t xml:space="preserve">, NC: </w:t>
      </w:r>
      <w:r w:rsidRPr="00C80762">
        <w:rPr>
          <w:rFonts w:ascii="Palatino Linotype" w:hAnsi="Palatino Linotype" w:cs="Arial"/>
          <w:sz w:val="22"/>
          <w:szCs w:val="22"/>
        </w:rPr>
        <w:t xml:space="preserve">Undersea and Hyperbaric Medical Society: </w:t>
      </w:r>
      <w:r w:rsidRPr="00C80762">
        <w:rPr>
          <w:rFonts w:ascii="Palatino Linotype" w:hAnsi="Palatino Linotype"/>
          <w:sz w:val="22"/>
          <w:szCs w:val="22"/>
        </w:rPr>
        <w:t>2009; 215-220.</w:t>
      </w:r>
    </w:p>
  </w:endnote>
  <w:endnote w:id="180">
    <w:p w14:paraId="490E7382" w14:textId="77777777" w:rsidR="00B17EF4" w:rsidRPr="00C80762" w:rsidRDefault="00B17EF4" w:rsidP="00834472">
      <w:pPr>
        <w:pStyle w:val="HTMLPreformatted2"/>
        <w:rPr>
          <w:rFonts w:ascii="Palatino Linotype" w:eastAsia="Times New Roman" w:hAnsi="Palatino Linotype"/>
          <w:color w:val="auto"/>
          <w:sz w:val="22"/>
          <w:szCs w:val="22"/>
          <w:lang w:bidi="x-none"/>
        </w:rPr>
      </w:pPr>
      <w:r w:rsidRPr="00C80762">
        <w:rPr>
          <w:rStyle w:val="EndnoteReference2"/>
          <w:rFonts w:ascii="Palatino Linotype" w:hAnsi="Palatino Linotype"/>
          <w:sz w:val="22"/>
          <w:szCs w:val="22"/>
        </w:rPr>
        <w:endnoteRef/>
      </w:r>
      <w:r w:rsidRPr="00C80762">
        <w:rPr>
          <w:rFonts w:ascii="Palatino Linotype" w:hAnsi="Palatino Linotype"/>
          <w:sz w:val="22"/>
          <w:szCs w:val="22"/>
        </w:rPr>
        <w:t xml:space="preserve"> Parsons HM. What Happened at </w:t>
      </w:r>
      <w:proofErr w:type="gramStart"/>
      <w:r w:rsidRPr="00C80762">
        <w:rPr>
          <w:rFonts w:ascii="Palatino Linotype" w:hAnsi="Palatino Linotype"/>
          <w:sz w:val="22"/>
          <w:szCs w:val="22"/>
        </w:rPr>
        <w:t>Hawthorne?:</w:t>
      </w:r>
      <w:proofErr w:type="gramEnd"/>
      <w:r w:rsidRPr="00C80762">
        <w:rPr>
          <w:rFonts w:ascii="Palatino Linotype" w:hAnsi="Palatino Linotype"/>
          <w:sz w:val="22"/>
          <w:szCs w:val="22"/>
        </w:rPr>
        <w:t xml:space="preserve"> New evidence suggests the Hawthorne effect resulted from operant reinforcement contingencies. Science 1974; 183 (4128):922-932.</w:t>
      </w:r>
    </w:p>
  </w:endnote>
  <w:endnote w:id="181">
    <w:p w14:paraId="4A722F06" w14:textId="77777777" w:rsidR="00B17EF4" w:rsidRPr="00C80762" w:rsidRDefault="00B17EF4" w:rsidP="00834472">
      <w:pPr>
        <w:pStyle w:val="EndnoteText2"/>
        <w:rPr>
          <w:rFonts w:ascii="Palatino Linotype" w:eastAsia="Times New Roman" w:hAnsi="Palatino Linotype"/>
          <w:color w:val="auto"/>
          <w:sz w:val="22"/>
          <w:szCs w:val="22"/>
          <w:lang w:bidi="x-none"/>
        </w:rPr>
      </w:pPr>
      <w:r w:rsidRPr="00C80762">
        <w:rPr>
          <w:rStyle w:val="EndnoteReference2"/>
          <w:rFonts w:ascii="Palatino Linotype" w:hAnsi="Palatino Linotype"/>
          <w:sz w:val="22"/>
          <w:szCs w:val="22"/>
        </w:rPr>
        <w:endnoteRef/>
      </w:r>
      <w:r w:rsidRPr="00C80762">
        <w:rPr>
          <w:rFonts w:ascii="Palatino Linotype" w:hAnsi="Palatino Linotype"/>
          <w:sz w:val="22"/>
          <w:szCs w:val="22"/>
        </w:rPr>
        <w:t xml:space="preserve"> Miller FG, </w:t>
      </w:r>
      <w:proofErr w:type="spellStart"/>
      <w:r w:rsidRPr="00C80762">
        <w:rPr>
          <w:rFonts w:ascii="Palatino Linotype" w:hAnsi="Palatino Linotype"/>
          <w:sz w:val="22"/>
          <w:szCs w:val="22"/>
        </w:rPr>
        <w:t>Colloca</w:t>
      </w:r>
      <w:proofErr w:type="spellEnd"/>
      <w:r w:rsidRPr="00C80762">
        <w:rPr>
          <w:rFonts w:ascii="Palatino Linotype" w:hAnsi="Palatino Linotype"/>
          <w:sz w:val="22"/>
          <w:szCs w:val="22"/>
        </w:rPr>
        <w:t xml:space="preserve"> L, </w:t>
      </w:r>
      <w:proofErr w:type="spellStart"/>
      <w:r w:rsidRPr="00C80762">
        <w:rPr>
          <w:rFonts w:ascii="Palatino Linotype" w:hAnsi="Palatino Linotype"/>
          <w:sz w:val="22"/>
          <w:szCs w:val="22"/>
        </w:rPr>
        <w:t>Kaptchuk</w:t>
      </w:r>
      <w:proofErr w:type="spellEnd"/>
      <w:r w:rsidRPr="00C80762">
        <w:rPr>
          <w:rFonts w:ascii="Palatino Linotype" w:hAnsi="Palatino Linotype"/>
          <w:sz w:val="22"/>
          <w:szCs w:val="22"/>
        </w:rPr>
        <w:t xml:space="preserve"> TJ. The placebo effect: illness and interpersonal healing. </w:t>
      </w:r>
      <w:proofErr w:type="spellStart"/>
      <w:r w:rsidRPr="00C80762">
        <w:rPr>
          <w:rFonts w:ascii="Palatino Linotype" w:hAnsi="Palatino Linotype"/>
          <w:sz w:val="22"/>
          <w:szCs w:val="22"/>
        </w:rPr>
        <w:t>Perspect</w:t>
      </w:r>
      <w:proofErr w:type="spellEnd"/>
      <w:r w:rsidRPr="00C80762">
        <w:rPr>
          <w:rFonts w:ascii="Palatino Linotype" w:hAnsi="Palatino Linotype"/>
          <w:sz w:val="22"/>
          <w:szCs w:val="22"/>
        </w:rPr>
        <w:t xml:space="preserve"> Biol Med 2009; 52:518-539.</w:t>
      </w:r>
    </w:p>
  </w:endnote>
  <w:endnote w:id="182">
    <w:p w14:paraId="1982C921" w14:textId="77777777" w:rsidR="00B17EF4" w:rsidRPr="00C80762" w:rsidRDefault="00B17EF4" w:rsidP="00834472">
      <w:pPr>
        <w:pStyle w:val="HTMLPreformatted1"/>
        <w:rPr>
          <w:rFonts w:ascii="Palatino Linotype" w:eastAsia="Times New Roman" w:hAnsi="Palatino Linotype"/>
          <w:color w:val="auto"/>
          <w:sz w:val="22"/>
          <w:szCs w:val="22"/>
          <w:lang w:bidi="x-none"/>
        </w:rPr>
      </w:pPr>
      <w:r w:rsidRPr="00C80762">
        <w:rPr>
          <w:rStyle w:val="EndnoteReference1"/>
          <w:rFonts w:ascii="Palatino Linotype" w:hAnsi="Palatino Linotype"/>
          <w:sz w:val="22"/>
          <w:szCs w:val="22"/>
        </w:rPr>
        <w:endnoteRef/>
      </w:r>
      <w:r w:rsidRPr="00C80762">
        <w:rPr>
          <w:rFonts w:ascii="Palatino Linotype" w:hAnsi="Palatino Linotype"/>
          <w:sz w:val="22"/>
          <w:szCs w:val="22"/>
        </w:rPr>
        <w:t xml:space="preserve"> Benedetti F, Carlino E, Pollo A. How placebos change the patient's brain. Neuropsychopharmacology 2011; 36:339-354.</w:t>
      </w:r>
    </w:p>
  </w:endnote>
  <w:endnote w:id="183">
    <w:p w14:paraId="496AC98F" w14:textId="77777777" w:rsidR="00B17EF4" w:rsidRPr="00C80762" w:rsidRDefault="00B17EF4" w:rsidP="00834472">
      <w:pPr>
        <w:pStyle w:val="EndnoteText2"/>
        <w:rPr>
          <w:rFonts w:ascii="Palatino Linotype" w:eastAsia="Times New Roman" w:hAnsi="Palatino Linotype" w:cs="Arial"/>
          <w:color w:val="auto"/>
          <w:sz w:val="22"/>
          <w:szCs w:val="22"/>
          <w:lang w:bidi="x-none"/>
        </w:rPr>
      </w:pPr>
      <w:r w:rsidRPr="00C80762">
        <w:rPr>
          <w:rStyle w:val="EndnoteReference2"/>
          <w:rFonts w:ascii="Palatino Linotype" w:hAnsi="Palatino Linotype"/>
          <w:sz w:val="22"/>
          <w:szCs w:val="22"/>
        </w:rPr>
        <w:endnoteRef/>
      </w:r>
      <w:r w:rsidRPr="00C80762">
        <w:rPr>
          <w:rFonts w:ascii="Palatino Linotype" w:hAnsi="Palatino Linotype"/>
          <w:sz w:val="22"/>
          <w:szCs w:val="22"/>
        </w:rPr>
        <w:t xml:space="preserve"> Couch JR, Stewart KE, Wisdom PJ. Persistence of symptoms of post-concussion syndrome (PCSS) for up to 8 years in veterans of OEF/OIF campaigns of the wars in Iraq and Afghanistan. (Abstract) Headache </w:t>
      </w:r>
      <w:r w:rsidRPr="00C80762">
        <w:rPr>
          <w:rFonts w:ascii="Palatino Linotype" w:hAnsi="Palatino Linotype" w:cs="Arial"/>
          <w:sz w:val="22"/>
          <w:szCs w:val="22"/>
        </w:rPr>
        <w:t>2012; 52:907.</w:t>
      </w:r>
    </w:p>
  </w:endnote>
  <w:endnote w:id="184">
    <w:p w14:paraId="20C3533C" w14:textId="77777777" w:rsidR="00B17EF4" w:rsidRPr="00C80762" w:rsidRDefault="00B17EF4" w:rsidP="00834472">
      <w:pPr>
        <w:autoSpaceDE w:val="0"/>
        <w:autoSpaceDN w:val="0"/>
        <w:adjustRightInd w:val="0"/>
        <w:spacing w:after="0" w:line="240" w:lineRule="auto"/>
        <w:rPr>
          <w:rFonts w:cs="Arial"/>
          <w:sz w:val="22"/>
          <w:szCs w:val="22"/>
        </w:rPr>
      </w:pPr>
      <w:r w:rsidRPr="00C80762">
        <w:rPr>
          <w:rStyle w:val="EndnoteReference"/>
          <w:rFonts w:cs="Arial"/>
          <w:sz w:val="22"/>
          <w:szCs w:val="22"/>
        </w:rPr>
        <w:endnoteRef/>
      </w:r>
      <w:r w:rsidRPr="00C80762">
        <w:rPr>
          <w:rFonts w:cs="Arial"/>
          <w:sz w:val="22"/>
          <w:szCs w:val="22"/>
        </w:rPr>
        <w:t xml:space="preserve"> The Veterans Health Administration’s Treatment of PTSD and Traumatic Brain Injury Among Recent Combat Veterans. Washington, DC: Congressional Budget Office, 2012: Pub No. 4097.</w:t>
      </w:r>
    </w:p>
    <w:p w14:paraId="005CE7F0" w14:textId="77777777" w:rsidR="00B17EF4" w:rsidRPr="00C80762" w:rsidRDefault="00B17EF4" w:rsidP="00834472">
      <w:pPr>
        <w:autoSpaceDE w:val="0"/>
        <w:autoSpaceDN w:val="0"/>
        <w:adjustRightInd w:val="0"/>
        <w:spacing w:after="0" w:line="240" w:lineRule="auto"/>
        <w:rPr>
          <w:rFonts w:cs="Arial"/>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NNFPLJ+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Gothic"/>
    <w:panose1 w:val="00000000000000000000"/>
    <w:charset w:val="80"/>
    <w:family w:val="auto"/>
    <w:notTrueType/>
    <w:pitch w:val="variable"/>
    <w:sig w:usb0="00000001" w:usb1="08070000" w:usb2="00000010" w:usb3="00000000" w:csb0="0002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3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old">
    <w:altName w:val="Arial"/>
    <w:panose1 w:val="00000000000000000000"/>
    <w:charset w:val="00"/>
    <w:family w:val="roman"/>
    <w:notTrueType/>
    <w:pitch w:val="default"/>
    <w:sig w:usb0="00000003" w:usb1="00000000" w:usb2="00000000" w:usb3="00000000" w:csb0="00000001" w:csb1="00000000"/>
  </w:font>
  <w:font w:name="Arial Italic">
    <w:panose1 w:val="00000000000000000000"/>
    <w:charset w:val="00"/>
    <w:family w:val="roman"/>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48FE" w14:textId="77777777" w:rsidR="00DF1947" w:rsidRDefault="00DF1947" w:rsidP="00F62556">
    <w:pPr>
      <w:rPr>
        <w:rFonts w:cstheme="minorHAnsi"/>
        <w:sz w:val="20"/>
        <w:szCs w:val="20"/>
      </w:rPr>
    </w:pPr>
  </w:p>
  <w:p w14:paraId="1FA6C295" w14:textId="77777777" w:rsidR="00DF1947" w:rsidRDefault="00DF1947" w:rsidP="00F62556">
    <w:pPr>
      <w:rPr>
        <w:rFonts w:cstheme="minorHAnsi"/>
        <w:sz w:val="20"/>
        <w:szCs w:val="20"/>
      </w:rPr>
    </w:pPr>
  </w:p>
  <w:p w14:paraId="63253467" w14:textId="1E64E4B5" w:rsidR="00F62556" w:rsidRPr="00F62556" w:rsidRDefault="00F62556" w:rsidP="00F62556">
    <w:pPr>
      <w:rPr>
        <w:rFonts w:cstheme="minorHAnsi"/>
        <w:sz w:val="20"/>
        <w:szCs w:val="20"/>
      </w:rPr>
    </w:pPr>
    <w:r w:rsidRPr="00F62556">
      <w:rPr>
        <w:rFonts w:cstheme="minorHAnsi"/>
        <w:sz w:val="20"/>
        <w:szCs w:val="20"/>
      </w:rPr>
      <w:t>Hyperbaric Oxygen Treatment of TBI, PTSD, and SCI</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r>
    <w:r w:rsidR="003031A7" w:rsidRPr="003031A7">
      <w:rPr>
        <w:rFonts w:cstheme="minorHAnsi"/>
        <w:sz w:val="20"/>
        <w:szCs w:val="20"/>
      </w:rPr>
      <w:t xml:space="preserve">Page </w:t>
    </w:r>
    <w:r w:rsidR="003031A7" w:rsidRPr="003031A7">
      <w:rPr>
        <w:rFonts w:cstheme="minorHAnsi"/>
        <w:b/>
        <w:bCs/>
        <w:sz w:val="20"/>
        <w:szCs w:val="20"/>
      </w:rPr>
      <w:fldChar w:fldCharType="begin"/>
    </w:r>
    <w:r w:rsidR="003031A7" w:rsidRPr="003031A7">
      <w:rPr>
        <w:rFonts w:cstheme="minorHAnsi"/>
        <w:b/>
        <w:bCs/>
        <w:sz w:val="20"/>
        <w:szCs w:val="20"/>
      </w:rPr>
      <w:instrText xml:space="preserve"> PAGE  \* Arabic  \* MERGEFORMAT </w:instrText>
    </w:r>
    <w:r w:rsidR="003031A7" w:rsidRPr="003031A7">
      <w:rPr>
        <w:rFonts w:cstheme="minorHAnsi"/>
        <w:b/>
        <w:bCs/>
        <w:sz w:val="20"/>
        <w:szCs w:val="20"/>
      </w:rPr>
      <w:fldChar w:fldCharType="separate"/>
    </w:r>
    <w:r w:rsidR="003031A7" w:rsidRPr="003031A7">
      <w:rPr>
        <w:rFonts w:cstheme="minorHAnsi"/>
        <w:b/>
        <w:bCs/>
        <w:noProof/>
        <w:sz w:val="20"/>
        <w:szCs w:val="20"/>
      </w:rPr>
      <w:t>1</w:t>
    </w:r>
    <w:r w:rsidR="003031A7" w:rsidRPr="003031A7">
      <w:rPr>
        <w:rFonts w:cstheme="minorHAnsi"/>
        <w:b/>
        <w:bCs/>
        <w:sz w:val="20"/>
        <w:szCs w:val="20"/>
      </w:rPr>
      <w:fldChar w:fldCharType="end"/>
    </w:r>
    <w:r w:rsidR="003031A7" w:rsidRPr="003031A7">
      <w:rPr>
        <w:rFonts w:cstheme="minorHAnsi"/>
        <w:sz w:val="20"/>
        <w:szCs w:val="20"/>
      </w:rPr>
      <w:t xml:space="preserve"> of </w:t>
    </w:r>
    <w:r w:rsidR="003031A7" w:rsidRPr="003031A7">
      <w:rPr>
        <w:rFonts w:cstheme="minorHAnsi"/>
        <w:b/>
        <w:bCs/>
        <w:sz w:val="20"/>
        <w:szCs w:val="20"/>
      </w:rPr>
      <w:fldChar w:fldCharType="begin"/>
    </w:r>
    <w:r w:rsidR="003031A7" w:rsidRPr="003031A7">
      <w:rPr>
        <w:rFonts w:cstheme="minorHAnsi"/>
        <w:b/>
        <w:bCs/>
        <w:sz w:val="20"/>
        <w:szCs w:val="20"/>
      </w:rPr>
      <w:instrText xml:space="preserve"> NUMPAGES  \* Arabic  \* MERGEFORMAT </w:instrText>
    </w:r>
    <w:r w:rsidR="003031A7" w:rsidRPr="003031A7">
      <w:rPr>
        <w:rFonts w:cstheme="minorHAnsi"/>
        <w:b/>
        <w:bCs/>
        <w:sz w:val="20"/>
        <w:szCs w:val="20"/>
      </w:rPr>
      <w:fldChar w:fldCharType="separate"/>
    </w:r>
    <w:r w:rsidR="003031A7" w:rsidRPr="003031A7">
      <w:rPr>
        <w:rFonts w:cstheme="minorHAnsi"/>
        <w:b/>
        <w:bCs/>
        <w:noProof/>
        <w:sz w:val="20"/>
        <w:szCs w:val="20"/>
      </w:rPr>
      <w:t>2</w:t>
    </w:r>
    <w:r w:rsidR="003031A7" w:rsidRPr="003031A7">
      <w:rPr>
        <w:rFonts w:cstheme="minorHAnsi"/>
        <w:b/>
        <w:bCs/>
        <w:sz w:val="20"/>
        <w:szCs w:val="20"/>
      </w:rPr>
      <w:fldChar w:fldCharType="end"/>
    </w:r>
  </w:p>
  <w:p w14:paraId="28B07C27" w14:textId="31B24547" w:rsidR="00F62556" w:rsidRDefault="00F62556">
    <w:pPr>
      <w:pStyle w:val="Footer"/>
    </w:pPr>
  </w:p>
  <w:p w14:paraId="276DBC85" w14:textId="77777777" w:rsidR="00F62556" w:rsidRDefault="00F625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178EC" w14:textId="77777777" w:rsidR="00C4221C" w:rsidRDefault="00C4221C" w:rsidP="00A04D99">
      <w:pPr>
        <w:spacing w:after="0" w:line="240" w:lineRule="auto"/>
      </w:pPr>
      <w:r>
        <w:separator/>
      </w:r>
    </w:p>
  </w:footnote>
  <w:footnote w:type="continuationSeparator" w:id="0">
    <w:p w14:paraId="1BD05CF2" w14:textId="77777777" w:rsidR="00C4221C" w:rsidRDefault="00C4221C" w:rsidP="00A04D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6C2F8A"/>
    <w:multiLevelType w:val="hybridMultilevel"/>
    <w:tmpl w:val="EE36423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 w15:restartNumberingAfterBreak="0">
    <w:nsid w:val="20C430BD"/>
    <w:multiLevelType w:val="hybridMultilevel"/>
    <w:tmpl w:val="8312F314"/>
    <w:lvl w:ilvl="0" w:tplc="86CCABCE">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6DD0143"/>
    <w:multiLevelType w:val="hybridMultilevel"/>
    <w:tmpl w:val="CAEAF5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0E2E26"/>
    <w:multiLevelType w:val="multilevel"/>
    <w:tmpl w:val="416E7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2F20FC"/>
    <w:multiLevelType w:val="hybridMultilevel"/>
    <w:tmpl w:val="C466EF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D05DB8"/>
    <w:multiLevelType w:val="hybridMultilevel"/>
    <w:tmpl w:val="1B4A4F40"/>
    <w:lvl w:ilvl="0" w:tplc="4B7897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B3174AB"/>
    <w:multiLevelType w:val="hybridMultilevel"/>
    <w:tmpl w:val="12DA9E0A"/>
    <w:lvl w:ilvl="0" w:tplc="5830C25E">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04586781">
    <w:abstractNumId w:val="4"/>
  </w:num>
  <w:num w:numId="2" w16cid:durableId="33506506">
    <w:abstractNumId w:val="3"/>
  </w:num>
  <w:num w:numId="3" w16cid:durableId="965157455">
    <w:abstractNumId w:val="2"/>
  </w:num>
  <w:num w:numId="4" w16cid:durableId="7367060">
    <w:abstractNumId w:val="0"/>
  </w:num>
  <w:num w:numId="5" w16cid:durableId="1896549273">
    <w:abstractNumId w:val="5"/>
  </w:num>
  <w:num w:numId="6" w16cid:durableId="1683362444">
    <w:abstractNumId w:val="6"/>
  </w:num>
  <w:num w:numId="7" w16cid:durableId="15930774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proofState w:spelling="clean" w:grammar="clean"/>
  <w:defaultTabStop w:val="720"/>
  <w:characterSpacingControl w:val="doNotCompres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D99"/>
    <w:rsid w:val="00005C57"/>
    <w:rsid w:val="000164A2"/>
    <w:rsid w:val="00055876"/>
    <w:rsid w:val="000735C7"/>
    <w:rsid w:val="00090260"/>
    <w:rsid w:val="00095DC7"/>
    <w:rsid w:val="000A5380"/>
    <w:rsid w:val="000A5B61"/>
    <w:rsid w:val="000B71CC"/>
    <w:rsid w:val="000E15EB"/>
    <w:rsid w:val="000E18FA"/>
    <w:rsid w:val="000F7540"/>
    <w:rsid w:val="001322EE"/>
    <w:rsid w:val="001435F8"/>
    <w:rsid w:val="001440C1"/>
    <w:rsid w:val="00147B84"/>
    <w:rsid w:val="00163985"/>
    <w:rsid w:val="00172486"/>
    <w:rsid w:val="0018451A"/>
    <w:rsid w:val="001A21EC"/>
    <w:rsid w:val="001A295C"/>
    <w:rsid w:val="001A4CF4"/>
    <w:rsid w:val="001A4DB9"/>
    <w:rsid w:val="001A5A4D"/>
    <w:rsid w:val="001C66C6"/>
    <w:rsid w:val="001F23A8"/>
    <w:rsid w:val="0022012C"/>
    <w:rsid w:val="002333EC"/>
    <w:rsid w:val="00235FAE"/>
    <w:rsid w:val="00242433"/>
    <w:rsid w:val="0024384C"/>
    <w:rsid w:val="0025788F"/>
    <w:rsid w:val="00277824"/>
    <w:rsid w:val="003031A7"/>
    <w:rsid w:val="003160C0"/>
    <w:rsid w:val="00323C92"/>
    <w:rsid w:val="0032475C"/>
    <w:rsid w:val="00361746"/>
    <w:rsid w:val="00372DA3"/>
    <w:rsid w:val="00380E14"/>
    <w:rsid w:val="00386C28"/>
    <w:rsid w:val="003943E4"/>
    <w:rsid w:val="0039697D"/>
    <w:rsid w:val="003C24FF"/>
    <w:rsid w:val="003D636B"/>
    <w:rsid w:val="003E3919"/>
    <w:rsid w:val="003F46E4"/>
    <w:rsid w:val="003F5B40"/>
    <w:rsid w:val="003F6E1E"/>
    <w:rsid w:val="00410586"/>
    <w:rsid w:val="0042530D"/>
    <w:rsid w:val="0043656B"/>
    <w:rsid w:val="004416F4"/>
    <w:rsid w:val="00442944"/>
    <w:rsid w:val="0045314D"/>
    <w:rsid w:val="0046326E"/>
    <w:rsid w:val="004652BF"/>
    <w:rsid w:val="00474F65"/>
    <w:rsid w:val="00480FF8"/>
    <w:rsid w:val="00493886"/>
    <w:rsid w:val="004977A4"/>
    <w:rsid w:val="004A017A"/>
    <w:rsid w:val="004A70CE"/>
    <w:rsid w:val="004C18CC"/>
    <w:rsid w:val="004E2B6B"/>
    <w:rsid w:val="004E7E49"/>
    <w:rsid w:val="0050266E"/>
    <w:rsid w:val="00517ED5"/>
    <w:rsid w:val="005274E7"/>
    <w:rsid w:val="00534FAB"/>
    <w:rsid w:val="0054180F"/>
    <w:rsid w:val="00553F48"/>
    <w:rsid w:val="00577311"/>
    <w:rsid w:val="00594C4C"/>
    <w:rsid w:val="00594F83"/>
    <w:rsid w:val="005A673C"/>
    <w:rsid w:val="005E0484"/>
    <w:rsid w:val="005E2A5A"/>
    <w:rsid w:val="00604639"/>
    <w:rsid w:val="00612E93"/>
    <w:rsid w:val="00632050"/>
    <w:rsid w:val="00643ED2"/>
    <w:rsid w:val="00646315"/>
    <w:rsid w:val="006605DF"/>
    <w:rsid w:val="00670EFC"/>
    <w:rsid w:val="006813E4"/>
    <w:rsid w:val="006839AE"/>
    <w:rsid w:val="006B3588"/>
    <w:rsid w:val="006B40AC"/>
    <w:rsid w:val="006D46BA"/>
    <w:rsid w:val="006D6D95"/>
    <w:rsid w:val="006E0F5C"/>
    <w:rsid w:val="006F46F9"/>
    <w:rsid w:val="007131AD"/>
    <w:rsid w:val="0072265D"/>
    <w:rsid w:val="00741230"/>
    <w:rsid w:val="00747F6C"/>
    <w:rsid w:val="007558ED"/>
    <w:rsid w:val="00755C03"/>
    <w:rsid w:val="007A50C4"/>
    <w:rsid w:val="007A5BAE"/>
    <w:rsid w:val="007B549D"/>
    <w:rsid w:val="007C625C"/>
    <w:rsid w:val="007D52FF"/>
    <w:rsid w:val="007E3ECD"/>
    <w:rsid w:val="008029FE"/>
    <w:rsid w:val="00803C73"/>
    <w:rsid w:val="008040B6"/>
    <w:rsid w:val="00805B09"/>
    <w:rsid w:val="0082763F"/>
    <w:rsid w:val="00834472"/>
    <w:rsid w:val="00842002"/>
    <w:rsid w:val="00847E0D"/>
    <w:rsid w:val="00862085"/>
    <w:rsid w:val="00866D79"/>
    <w:rsid w:val="00876D59"/>
    <w:rsid w:val="00891416"/>
    <w:rsid w:val="008B3E83"/>
    <w:rsid w:val="008F39F5"/>
    <w:rsid w:val="008F7E6A"/>
    <w:rsid w:val="00903F0F"/>
    <w:rsid w:val="009077DE"/>
    <w:rsid w:val="00907974"/>
    <w:rsid w:val="00922BBB"/>
    <w:rsid w:val="00936E19"/>
    <w:rsid w:val="009447AB"/>
    <w:rsid w:val="009466BC"/>
    <w:rsid w:val="00950C03"/>
    <w:rsid w:val="009544E1"/>
    <w:rsid w:val="00954C8C"/>
    <w:rsid w:val="00961275"/>
    <w:rsid w:val="00965CA7"/>
    <w:rsid w:val="00967FDE"/>
    <w:rsid w:val="00976FEF"/>
    <w:rsid w:val="00982422"/>
    <w:rsid w:val="009B53F3"/>
    <w:rsid w:val="009C1FEF"/>
    <w:rsid w:val="009D06CD"/>
    <w:rsid w:val="009D285B"/>
    <w:rsid w:val="009D3191"/>
    <w:rsid w:val="009E563B"/>
    <w:rsid w:val="009F2C2F"/>
    <w:rsid w:val="009F3717"/>
    <w:rsid w:val="00A04D99"/>
    <w:rsid w:val="00A26761"/>
    <w:rsid w:val="00A3483F"/>
    <w:rsid w:val="00A7005F"/>
    <w:rsid w:val="00A71ED4"/>
    <w:rsid w:val="00A8597B"/>
    <w:rsid w:val="00A94B7C"/>
    <w:rsid w:val="00AA70A7"/>
    <w:rsid w:val="00AD6DAF"/>
    <w:rsid w:val="00AE0625"/>
    <w:rsid w:val="00AE2448"/>
    <w:rsid w:val="00B05F4C"/>
    <w:rsid w:val="00B15D0E"/>
    <w:rsid w:val="00B166EF"/>
    <w:rsid w:val="00B17EF4"/>
    <w:rsid w:val="00B26CCE"/>
    <w:rsid w:val="00B347CD"/>
    <w:rsid w:val="00B36007"/>
    <w:rsid w:val="00B5560B"/>
    <w:rsid w:val="00BA7326"/>
    <w:rsid w:val="00BA7542"/>
    <w:rsid w:val="00BB114B"/>
    <w:rsid w:val="00BB2AA6"/>
    <w:rsid w:val="00BB499C"/>
    <w:rsid w:val="00BB4E00"/>
    <w:rsid w:val="00BC1661"/>
    <w:rsid w:val="00BC3421"/>
    <w:rsid w:val="00BD0325"/>
    <w:rsid w:val="00BD7954"/>
    <w:rsid w:val="00BE0D42"/>
    <w:rsid w:val="00BE2CEF"/>
    <w:rsid w:val="00BE74D4"/>
    <w:rsid w:val="00C17C78"/>
    <w:rsid w:val="00C206A2"/>
    <w:rsid w:val="00C2393D"/>
    <w:rsid w:val="00C243EE"/>
    <w:rsid w:val="00C4221C"/>
    <w:rsid w:val="00C52C47"/>
    <w:rsid w:val="00C5632E"/>
    <w:rsid w:val="00C62E3F"/>
    <w:rsid w:val="00C75434"/>
    <w:rsid w:val="00C80762"/>
    <w:rsid w:val="00C81B36"/>
    <w:rsid w:val="00C90A47"/>
    <w:rsid w:val="00C957B4"/>
    <w:rsid w:val="00CA5754"/>
    <w:rsid w:val="00CA63DC"/>
    <w:rsid w:val="00CA648C"/>
    <w:rsid w:val="00CB4E8F"/>
    <w:rsid w:val="00CB76B5"/>
    <w:rsid w:val="00CB76B8"/>
    <w:rsid w:val="00CC6622"/>
    <w:rsid w:val="00CD7E63"/>
    <w:rsid w:val="00CE68A9"/>
    <w:rsid w:val="00CE7510"/>
    <w:rsid w:val="00CF0186"/>
    <w:rsid w:val="00CF13E9"/>
    <w:rsid w:val="00D01F8A"/>
    <w:rsid w:val="00D03F40"/>
    <w:rsid w:val="00D154F2"/>
    <w:rsid w:val="00D17EB4"/>
    <w:rsid w:val="00D56E0D"/>
    <w:rsid w:val="00D60724"/>
    <w:rsid w:val="00D722A5"/>
    <w:rsid w:val="00D76C68"/>
    <w:rsid w:val="00D8430F"/>
    <w:rsid w:val="00DA1BD1"/>
    <w:rsid w:val="00DA4E29"/>
    <w:rsid w:val="00DB365E"/>
    <w:rsid w:val="00DC3CD7"/>
    <w:rsid w:val="00DD16CA"/>
    <w:rsid w:val="00DD5C41"/>
    <w:rsid w:val="00DF02B5"/>
    <w:rsid w:val="00DF1947"/>
    <w:rsid w:val="00DF703F"/>
    <w:rsid w:val="00E25471"/>
    <w:rsid w:val="00E36F21"/>
    <w:rsid w:val="00E57E1F"/>
    <w:rsid w:val="00E719C2"/>
    <w:rsid w:val="00E74B7B"/>
    <w:rsid w:val="00E97EF1"/>
    <w:rsid w:val="00EA2EC6"/>
    <w:rsid w:val="00EA4985"/>
    <w:rsid w:val="00EB7417"/>
    <w:rsid w:val="00ED5685"/>
    <w:rsid w:val="00ED5CB3"/>
    <w:rsid w:val="00EE481C"/>
    <w:rsid w:val="00F02968"/>
    <w:rsid w:val="00F06198"/>
    <w:rsid w:val="00F10AA4"/>
    <w:rsid w:val="00F11C2A"/>
    <w:rsid w:val="00F13177"/>
    <w:rsid w:val="00F139CA"/>
    <w:rsid w:val="00F26264"/>
    <w:rsid w:val="00F31757"/>
    <w:rsid w:val="00F467AC"/>
    <w:rsid w:val="00F62556"/>
    <w:rsid w:val="00F84D28"/>
    <w:rsid w:val="00FB4B07"/>
    <w:rsid w:val="00FD03D8"/>
    <w:rsid w:val="00FE4C32"/>
    <w:rsid w:val="00FE7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22137419"/>
  <w15:chartTrackingRefBased/>
  <w15:docId w15:val="{54F49E7E-B0FC-4D80-B0A2-C9908191A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Theme="minorHAnsi" w:hAnsi="Palatino Linotype" w:cs="NNFPLJ+TimesNewRoman"/>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4D9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04D9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04D9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04D9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04D9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04D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D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D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D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4D9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04D9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04D9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04D9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04D9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04D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D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D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D99"/>
    <w:rPr>
      <w:rFonts w:eastAsiaTheme="majorEastAsia" w:cstheme="majorBidi"/>
      <w:color w:val="272727" w:themeColor="text1" w:themeTint="D8"/>
    </w:rPr>
  </w:style>
  <w:style w:type="paragraph" w:styleId="Title">
    <w:name w:val="Title"/>
    <w:basedOn w:val="Normal"/>
    <w:next w:val="Normal"/>
    <w:link w:val="TitleChar"/>
    <w:uiPriority w:val="10"/>
    <w:qFormat/>
    <w:rsid w:val="00A04D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4D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4D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4D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D99"/>
    <w:pPr>
      <w:spacing w:before="160"/>
      <w:jc w:val="center"/>
    </w:pPr>
    <w:rPr>
      <w:i/>
      <w:iCs/>
      <w:color w:val="404040" w:themeColor="text1" w:themeTint="BF"/>
    </w:rPr>
  </w:style>
  <w:style w:type="character" w:customStyle="1" w:styleId="QuoteChar">
    <w:name w:val="Quote Char"/>
    <w:basedOn w:val="DefaultParagraphFont"/>
    <w:link w:val="Quote"/>
    <w:uiPriority w:val="29"/>
    <w:rsid w:val="00A04D99"/>
    <w:rPr>
      <w:i/>
      <w:iCs/>
      <w:color w:val="404040" w:themeColor="text1" w:themeTint="BF"/>
    </w:rPr>
  </w:style>
  <w:style w:type="paragraph" w:styleId="ListParagraph">
    <w:name w:val="List Paragraph"/>
    <w:basedOn w:val="Normal"/>
    <w:uiPriority w:val="34"/>
    <w:qFormat/>
    <w:rsid w:val="00A04D99"/>
    <w:pPr>
      <w:ind w:left="720"/>
      <w:contextualSpacing/>
    </w:pPr>
  </w:style>
  <w:style w:type="character" w:styleId="IntenseEmphasis">
    <w:name w:val="Intense Emphasis"/>
    <w:basedOn w:val="DefaultParagraphFont"/>
    <w:uiPriority w:val="21"/>
    <w:qFormat/>
    <w:rsid w:val="00A04D99"/>
    <w:rPr>
      <w:i/>
      <w:iCs/>
      <w:color w:val="2F5496" w:themeColor="accent1" w:themeShade="BF"/>
    </w:rPr>
  </w:style>
  <w:style w:type="paragraph" w:styleId="IntenseQuote">
    <w:name w:val="Intense Quote"/>
    <w:basedOn w:val="Normal"/>
    <w:next w:val="Normal"/>
    <w:link w:val="IntenseQuoteChar"/>
    <w:uiPriority w:val="30"/>
    <w:qFormat/>
    <w:rsid w:val="00A04D9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04D99"/>
    <w:rPr>
      <w:i/>
      <w:iCs/>
      <w:color w:val="2F5496" w:themeColor="accent1" w:themeShade="BF"/>
    </w:rPr>
  </w:style>
  <w:style w:type="character" w:styleId="IntenseReference">
    <w:name w:val="Intense Reference"/>
    <w:basedOn w:val="DefaultParagraphFont"/>
    <w:uiPriority w:val="32"/>
    <w:qFormat/>
    <w:rsid w:val="00A04D99"/>
    <w:rPr>
      <w:b/>
      <w:bCs/>
      <w:smallCaps/>
      <w:color w:val="2F5496" w:themeColor="accent1" w:themeShade="BF"/>
      <w:spacing w:val="5"/>
    </w:rPr>
  </w:style>
  <w:style w:type="paragraph" w:styleId="FootnoteText">
    <w:name w:val="footnote text"/>
    <w:basedOn w:val="Normal"/>
    <w:link w:val="FootnoteTextChar"/>
    <w:uiPriority w:val="99"/>
    <w:unhideWhenUsed/>
    <w:rsid w:val="00A04D99"/>
    <w:pPr>
      <w:spacing w:after="0" w:line="240" w:lineRule="auto"/>
    </w:pPr>
    <w:rPr>
      <w:sz w:val="20"/>
      <w:szCs w:val="20"/>
    </w:rPr>
  </w:style>
  <w:style w:type="character" w:customStyle="1" w:styleId="FootnoteTextChar">
    <w:name w:val="Footnote Text Char"/>
    <w:basedOn w:val="DefaultParagraphFont"/>
    <w:link w:val="FootnoteText"/>
    <w:uiPriority w:val="99"/>
    <w:rsid w:val="00A04D99"/>
    <w:rPr>
      <w:sz w:val="20"/>
      <w:szCs w:val="20"/>
    </w:rPr>
  </w:style>
  <w:style w:type="character" w:styleId="FootnoteReference">
    <w:name w:val="footnote reference"/>
    <w:basedOn w:val="DefaultParagraphFont"/>
    <w:uiPriority w:val="99"/>
    <w:semiHidden/>
    <w:unhideWhenUsed/>
    <w:rsid w:val="00A04D99"/>
    <w:rPr>
      <w:vertAlign w:val="superscript"/>
    </w:rPr>
  </w:style>
  <w:style w:type="paragraph" w:styleId="EndnoteText">
    <w:name w:val="endnote text"/>
    <w:basedOn w:val="Normal"/>
    <w:link w:val="EndnoteTextChar"/>
    <w:uiPriority w:val="99"/>
    <w:rsid w:val="00A04D99"/>
    <w:pPr>
      <w:spacing w:after="0" w:line="240" w:lineRule="auto"/>
    </w:pPr>
    <w:rPr>
      <w:rFonts w:ascii="Times New Roman" w:eastAsia="ヒラギノ角ゴ Pro W3" w:hAnsi="Times New Roman" w:cs="Times New Roman"/>
      <w:color w:val="000000"/>
      <w:sz w:val="20"/>
      <w:szCs w:val="20"/>
    </w:rPr>
  </w:style>
  <w:style w:type="character" w:customStyle="1" w:styleId="EndnoteTextChar">
    <w:name w:val="Endnote Text Char"/>
    <w:basedOn w:val="DefaultParagraphFont"/>
    <w:link w:val="EndnoteText"/>
    <w:uiPriority w:val="99"/>
    <w:rsid w:val="00A04D99"/>
    <w:rPr>
      <w:rFonts w:ascii="Times New Roman" w:eastAsia="ヒラギノ角ゴ Pro W3" w:hAnsi="Times New Roman" w:cs="Times New Roman"/>
      <w:color w:val="000000"/>
      <w:kern w:val="0"/>
      <w:sz w:val="20"/>
      <w:szCs w:val="20"/>
    </w:rPr>
  </w:style>
  <w:style w:type="paragraph" w:customStyle="1" w:styleId="Default">
    <w:name w:val="Default"/>
    <w:rsid w:val="00965CA7"/>
    <w:pPr>
      <w:autoSpaceDE w:val="0"/>
      <w:autoSpaceDN w:val="0"/>
      <w:adjustRightInd w:val="0"/>
      <w:spacing w:after="0" w:line="240" w:lineRule="auto"/>
    </w:pPr>
    <w:rPr>
      <w:rFonts w:ascii="NNFPLJ+TimesNewRoman" w:eastAsia="Times New Roman" w:hAnsi="NNFPLJ+TimesNewRoman"/>
      <w:color w:val="000000"/>
    </w:rPr>
  </w:style>
  <w:style w:type="character" w:styleId="EndnoteReference">
    <w:name w:val="endnote reference"/>
    <w:basedOn w:val="DefaultParagraphFont"/>
    <w:uiPriority w:val="99"/>
    <w:semiHidden/>
    <w:rsid w:val="00CB76B5"/>
    <w:rPr>
      <w:vertAlign w:val="superscript"/>
    </w:rPr>
  </w:style>
  <w:style w:type="character" w:styleId="UnresolvedMention">
    <w:name w:val="Unresolved Mention"/>
    <w:basedOn w:val="DefaultParagraphFont"/>
    <w:uiPriority w:val="99"/>
    <w:semiHidden/>
    <w:unhideWhenUsed/>
    <w:rsid w:val="00643ED2"/>
    <w:rPr>
      <w:color w:val="605E5C"/>
      <w:shd w:val="clear" w:color="auto" w:fill="E1DFDD"/>
    </w:rPr>
  </w:style>
  <w:style w:type="paragraph" w:customStyle="1" w:styleId="EndNoteBibliography">
    <w:name w:val="EndNote Bibliography"/>
    <w:basedOn w:val="Normal"/>
    <w:link w:val="EndNoteBibliographyChar"/>
    <w:rsid w:val="00643ED2"/>
    <w:pPr>
      <w:spacing w:after="0" w:line="240" w:lineRule="auto"/>
      <w:jc w:val="both"/>
    </w:pPr>
    <w:rPr>
      <w:rFonts w:ascii="Aptos" w:hAnsi="Aptos"/>
    </w:rPr>
  </w:style>
  <w:style w:type="character" w:customStyle="1" w:styleId="EndNoteBibliographyChar">
    <w:name w:val="EndNote Bibliography Char"/>
    <w:basedOn w:val="DefaultParagraphFont"/>
    <w:link w:val="EndNoteBibliography"/>
    <w:rsid w:val="00643ED2"/>
    <w:rPr>
      <w:rFonts w:ascii="Aptos" w:hAnsi="Aptos"/>
    </w:rPr>
  </w:style>
  <w:style w:type="character" w:styleId="Hyperlink">
    <w:name w:val="Hyperlink"/>
    <w:basedOn w:val="DefaultParagraphFont"/>
    <w:uiPriority w:val="99"/>
    <w:unhideWhenUsed/>
    <w:rsid w:val="00643ED2"/>
    <w:rPr>
      <w:color w:val="0563C1" w:themeColor="hyperlink"/>
      <w:u w:val="single"/>
    </w:rPr>
  </w:style>
  <w:style w:type="paragraph" w:styleId="HTMLPreformatted">
    <w:name w:val="HTML Preformatted"/>
    <w:basedOn w:val="Normal"/>
    <w:link w:val="HTMLPreformattedChar"/>
    <w:rsid w:val="00DB3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14:ligatures w14:val="none"/>
    </w:rPr>
  </w:style>
  <w:style w:type="character" w:customStyle="1" w:styleId="HTMLPreformattedChar">
    <w:name w:val="HTML Preformatted Char"/>
    <w:basedOn w:val="DefaultParagraphFont"/>
    <w:link w:val="HTMLPreformatted"/>
    <w:uiPriority w:val="99"/>
    <w:rsid w:val="00DB365E"/>
    <w:rPr>
      <w:rFonts w:ascii="Courier New" w:eastAsia="Times New Roman" w:hAnsi="Courier New" w:cs="Courier New"/>
      <w:kern w:val="0"/>
      <w:sz w:val="20"/>
      <w:szCs w:val="20"/>
      <w14:ligatures w14:val="none"/>
    </w:rPr>
  </w:style>
  <w:style w:type="character" w:customStyle="1" w:styleId="highlight">
    <w:name w:val="highlight"/>
    <w:basedOn w:val="DefaultParagraphFont"/>
    <w:uiPriority w:val="99"/>
    <w:rsid w:val="00DB365E"/>
  </w:style>
  <w:style w:type="character" w:customStyle="1" w:styleId="bkciteavail">
    <w:name w:val="bk_cite_avail"/>
    <w:basedOn w:val="DefaultParagraphFont"/>
    <w:rsid w:val="007E3ECD"/>
  </w:style>
  <w:style w:type="paragraph" w:styleId="NormalWeb">
    <w:name w:val="Normal (Web)"/>
    <w:basedOn w:val="Normal"/>
    <w:uiPriority w:val="99"/>
    <w:unhideWhenUsed/>
    <w:rsid w:val="00755C03"/>
    <w:pPr>
      <w:spacing w:after="0" w:line="240" w:lineRule="auto"/>
    </w:pPr>
    <w:rPr>
      <w:rFonts w:ascii="Times New Roman" w:eastAsia="Cambria" w:hAnsi="Times New Roman" w:cs="Times New Roman"/>
      <w:color w:val="000000"/>
      <w14:ligatures w14:val="none"/>
    </w:rPr>
  </w:style>
  <w:style w:type="paragraph" w:styleId="Caption">
    <w:name w:val="caption"/>
    <w:basedOn w:val="Normal"/>
    <w:next w:val="Normal"/>
    <w:link w:val="CaptionChar"/>
    <w:unhideWhenUsed/>
    <w:qFormat/>
    <w:rsid w:val="00A8597B"/>
    <w:pPr>
      <w:spacing w:before="200" w:after="200" w:line="276" w:lineRule="auto"/>
    </w:pPr>
    <w:rPr>
      <w:rFonts w:asciiTheme="minorHAnsi" w:eastAsiaTheme="minorEastAsia" w:hAnsiTheme="minorHAnsi" w:cstheme="minorBidi"/>
      <w:b/>
      <w:bCs/>
      <w:color w:val="2F5496" w:themeColor="accent1" w:themeShade="BF"/>
      <w:sz w:val="16"/>
      <w:szCs w:val="16"/>
      <w14:ligatures w14:val="none"/>
    </w:rPr>
  </w:style>
  <w:style w:type="character" w:customStyle="1" w:styleId="CaptionChar">
    <w:name w:val="Caption Char"/>
    <w:basedOn w:val="DefaultParagraphFont"/>
    <w:link w:val="Caption"/>
    <w:locked/>
    <w:rsid w:val="00A8597B"/>
    <w:rPr>
      <w:rFonts w:asciiTheme="minorHAnsi" w:eastAsiaTheme="minorEastAsia" w:hAnsiTheme="minorHAnsi" w:cstheme="minorBidi"/>
      <w:b/>
      <w:bCs/>
      <w:color w:val="2F5496" w:themeColor="accent1" w:themeShade="BF"/>
      <w:sz w:val="16"/>
      <w:szCs w:val="16"/>
      <w14:ligatures w14:val="none"/>
    </w:rPr>
  </w:style>
  <w:style w:type="character" w:styleId="FollowedHyperlink">
    <w:name w:val="FollowedHyperlink"/>
    <w:basedOn w:val="DefaultParagraphFont"/>
    <w:uiPriority w:val="99"/>
    <w:semiHidden/>
    <w:unhideWhenUsed/>
    <w:rsid w:val="000F7540"/>
    <w:rPr>
      <w:color w:val="954F72" w:themeColor="followedHyperlink"/>
      <w:u w:val="single"/>
    </w:rPr>
  </w:style>
  <w:style w:type="paragraph" w:customStyle="1" w:styleId="FreeForm">
    <w:name w:val="Free Form"/>
    <w:rsid w:val="00B17EF4"/>
    <w:pPr>
      <w:spacing w:after="0" w:line="240" w:lineRule="auto"/>
    </w:pPr>
    <w:rPr>
      <w:rFonts w:ascii="Times New Roman" w:eastAsia="ヒラギノ角ゴ Pro W3" w:hAnsi="Times New Roman" w:cs="Times New Roman"/>
      <w:color w:val="000000"/>
      <w:sz w:val="20"/>
      <w:szCs w:val="20"/>
      <w14:ligatures w14:val="none"/>
    </w:rPr>
  </w:style>
  <w:style w:type="character" w:customStyle="1" w:styleId="Strong1">
    <w:name w:val="Strong1"/>
    <w:rsid w:val="00B17EF4"/>
    <w:rPr>
      <w:rFonts w:ascii="Lucida Grande" w:eastAsia="ヒラギノ角ゴ Pro W3" w:hAnsi="Lucida Grande"/>
      <w:b/>
      <w:i w:val="0"/>
      <w:color w:val="000000"/>
      <w:sz w:val="20"/>
    </w:rPr>
  </w:style>
  <w:style w:type="paragraph" w:customStyle="1" w:styleId="FreeFormA">
    <w:name w:val="Free Form A"/>
    <w:rsid w:val="00B17EF4"/>
    <w:pPr>
      <w:spacing w:after="0" w:line="240" w:lineRule="auto"/>
    </w:pPr>
    <w:rPr>
      <w:rFonts w:ascii="Times New Roman" w:eastAsia="ヒラギノ角ゴ Pro W3" w:hAnsi="Times New Roman" w:cs="Times New Roman"/>
      <w:color w:val="000000"/>
      <w:sz w:val="20"/>
      <w:szCs w:val="20"/>
      <w14:ligatures w14:val="none"/>
    </w:rPr>
  </w:style>
  <w:style w:type="character" w:customStyle="1" w:styleId="EndnoteReference2">
    <w:name w:val="Endnote Reference2"/>
    <w:rsid w:val="00B17EF4"/>
    <w:rPr>
      <w:color w:val="000000"/>
      <w:sz w:val="20"/>
      <w:vertAlign w:val="superscript"/>
    </w:rPr>
  </w:style>
  <w:style w:type="paragraph" w:customStyle="1" w:styleId="EndnoteText2">
    <w:name w:val="Endnote Text2"/>
    <w:rsid w:val="00B17EF4"/>
    <w:pPr>
      <w:spacing w:after="0" w:line="240" w:lineRule="auto"/>
    </w:pPr>
    <w:rPr>
      <w:rFonts w:ascii="Times New Roman" w:eastAsia="ヒラギノ角ゴ Pro W3" w:hAnsi="Times New Roman" w:cs="Times New Roman"/>
      <w:color w:val="000000"/>
      <w:sz w:val="20"/>
      <w:szCs w:val="20"/>
      <w14:ligatures w14:val="none"/>
    </w:rPr>
  </w:style>
  <w:style w:type="paragraph" w:customStyle="1" w:styleId="HTMLPreformatted2">
    <w:name w:val="HTML Preformatted2"/>
    <w:rsid w:val="00B17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ヒラギノ角ゴ Pro W3" w:hAnsi="Courier New" w:cs="Times New Roman"/>
      <w:color w:val="000000"/>
      <w:sz w:val="20"/>
      <w:szCs w:val="20"/>
      <w14:ligatures w14:val="none"/>
    </w:rPr>
  </w:style>
  <w:style w:type="paragraph" w:customStyle="1" w:styleId="HTMLPreformatted1">
    <w:name w:val="HTML Preformatted1"/>
    <w:rsid w:val="00B17E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ヒラギノ角ゴ Pro W3" w:hAnsi="Courier New" w:cs="Times New Roman"/>
      <w:color w:val="000000"/>
      <w:sz w:val="20"/>
      <w:szCs w:val="20"/>
      <w14:ligatures w14:val="none"/>
    </w:rPr>
  </w:style>
  <w:style w:type="character" w:customStyle="1" w:styleId="EndnoteReference1">
    <w:name w:val="Endnote Reference1"/>
    <w:rsid w:val="00B17EF4"/>
    <w:rPr>
      <w:color w:val="000000"/>
      <w:sz w:val="20"/>
      <w:vertAlign w:val="superscript"/>
    </w:rPr>
  </w:style>
  <w:style w:type="paragraph" w:customStyle="1" w:styleId="EndnoteText1">
    <w:name w:val="Endnote Text1"/>
    <w:rsid w:val="00B17EF4"/>
    <w:pPr>
      <w:widowControl w:val="0"/>
      <w:spacing w:after="0" w:line="240" w:lineRule="auto"/>
    </w:pPr>
    <w:rPr>
      <w:rFonts w:ascii="Arial" w:eastAsia="ヒラギノ角ゴ Pro W3" w:hAnsi="Arial" w:cs="Times New Roman"/>
      <w:color w:val="000000"/>
      <w:szCs w:val="20"/>
      <w14:ligatures w14:val="none"/>
    </w:rPr>
  </w:style>
  <w:style w:type="paragraph" w:styleId="Header">
    <w:name w:val="header"/>
    <w:basedOn w:val="Normal"/>
    <w:link w:val="HeaderChar"/>
    <w:uiPriority w:val="99"/>
    <w:unhideWhenUsed/>
    <w:rsid w:val="00F625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2556"/>
  </w:style>
  <w:style w:type="paragraph" w:styleId="Footer">
    <w:name w:val="footer"/>
    <w:basedOn w:val="Normal"/>
    <w:link w:val="FooterChar"/>
    <w:uiPriority w:val="99"/>
    <w:unhideWhenUsed/>
    <w:rsid w:val="00F625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2556"/>
  </w:style>
  <w:style w:type="paragraph" w:styleId="TOCHeading">
    <w:name w:val="TOC Heading"/>
    <w:basedOn w:val="Heading1"/>
    <w:next w:val="Normal"/>
    <w:uiPriority w:val="39"/>
    <w:unhideWhenUsed/>
    <w:qFormat/>
    <w:rsid w:val="00DD5C41"/>
    <w:pPr>
      <w:spacing w:before="240" w:after="0" w:line="259" w:lineRule="auto"/>
      <w:outlineLvl w:val="9"/>
    </w:pPr>
    <w:rPr>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532474">
      <w:bodyDiv w:val="1"/>
      <w:marLeft w:val="0"/>
      <w:marRight w:val="0"/>
      <w:marTop w:val="0"/>
      <w:marBottom w:val="0"/>
      <w:divBdr>
        <w:top w:val="none" w:sz="0" w:space="0" w:color="auto"/>
        <w:left w:val="none" w:sz="0" w:space="0" w:color="auto"/>
        <w:bottom w:val="none" w:sz="0" w:space="0" w:color="auto"/>
        <w:right w:val="none" w:sz="0" w:space="0" w:color="auto"/>
      </w:divBdr>
    </w:div>
    <w:div w:id="203399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charts/_rels/chart1.xml.rels><?xml version="1.0" encoding="UTF-8" standalone="yes"?>
<Relationships xmlns="http://schemas.openxmlformats.org/package/2006/relationships"><Relationship Id="rId3" Type="http://schemas.openxmlformats.org/officeDocument/2006/relationships/oleObject" Target="file:///H:\Lauren%20Hickey\%25%20change%20ANAM%20mood%20scor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 Change in ANAM Mood Scores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Sheet1!$I$6</c:f>
              <c:strCache>
                <c:ptCount val="1"/>
                <c:pt idx="0">
                  <c:v>% Change</c:v>
                </c:pt>
              </c:strCache>
            </c:strRef>
          </c:tx>
          <c:spPr>
            <a:solidFill>
              <a:srgbClr val="FF0000">
                <a:alpha val="50196"/>
              </a:srgbClr>
            </a:solidFill>
            <a:ln>
              <a:noFill/>
            </a:ln>
            <a:effectLst/>
          </c:spPr>
          <c:invertIfNegative val="0"/>
          <c:dPt>
            <c:idx val="6"/>
            <c:invertIfNegative val="0"/>
            <c:bubble3D val="0"/>
            <c:spPr>
              <a:solidFill>
                <a:srgbClr val="00B050"/>
              </a:solidFill>
              <a:ln>
                <a:noFill/>
              </a:ln>
              <a:effectLst/>
            </c:spPr>
            <c:extLst>
              <c:ext xmlns:c16="http://schemas.microsoft.com/office/drawing/2014/chart" uri="{C3380CC4-5D6E-409C-BE32-E72D297353CC}">
                <c16:uniqueId val="{00000001-B853-437F-A070-CEEB61CB1353}"/>
              </c:ext>
            </c:extLst>
          </c:dPt>
          <c:dPt>
            <c:idx val="7"/>
            <c:invertIfNegative val="0"/>
            <c:bubble3D val="0"/>
            <c:spPr>
              <a:solidFill>
                <a:srgbClr val="00B050"/>
              </a:solidFill>
              <a:ln>
                <a:noFill/>
              </a:ln>
              <a:effectLst/>
            </c:spPr>
            <c:extLst>
              <c:ext xmlns:c16="http://schemas.microsoft.com/office/drawing/2014/chart" uri="{C3380CC4-5D6E-409C-BE32-E72D297353CC}">
                <c16:uniqueId val="{00000003-B853-437F-A070-CEEB61CB1353}"/>
              </c:ext>
            </c:extLst>
          </c:dPt>
          <c:cat>
            <c:strRef>
              <c:f>Sheet1!$H$7:$H$14</c:f>
              <c:strCache>
                <c:ptCount val="8"/>
                <c:pt idx="0">
                  <c:v>Sleepiness</c:v>
                </c:pt>
                <c:pt idx="1">
                  <c:v>Restlessness</c:v>
                </c:pt>
                <c:pt idx="2">
                  <c:v>Depression</c:v>
                </c:pt>
                <c:pt idx="3">
                  <c:v>Anger</c:v>
                </c:pt>
                <c:pt idx="4">
                  <c:v>Fatigue</c:v>
                </c:pt>
                <c:pt idx="5">
                  <c:v>Anxiety</c:v>
                </c:pt>
                <c:pt idx="6">
                  <c:v>Happiness</c:v>
                </c:pt>
                <c:pt idx="7">
                  <c:v>Vigor</c:v>
                </c:pt>
              </c:strCache>
            </c:strRef>
          </c:cat>
          <c:val>
            <c:numRef>
              <c:f>Sheet1!$I$7:$I$14</c:f>
              <c:numCache>
                <c:formatCode>General</c:formatCode>
                <c:ptCount val="8"/>
                <c:pt idx="0">
                  <c:v>-42</c:v>
                </c:pt>
                <c:pt idx="1">
                  <c:v>-47</c:v>
                </c:pt>
                <c:pt idx="2">
                  <c:v>-32</c:v>
                </c:pt>
                <c:pt idx="3">
                  <c:v>-24</c:v>
                </c:pt>
                <c:pt idx="4">
                  <c:v>-53</c:v>
                </c:pt>
                <c:pt idx="5">
                  <c:v>-24</c:v>
                </c:pt>
                <c:pt idx="6" formatCode="0;[Red]0">
                  <c:v>40</c:v>
                </c:pt>
                <c:pt idx="7" formatCode="0;[Red]0">
                  <c:v>53</c:v>
                </c:pt>
              </c:numCache>
            </c:numRef>
          </c:val>
          <c:extLst>
            <c:ext xmlns:c16="http://schemas.microsoft.com/office/drawing/2014/chart" uri="{C3380CC4-5D6E-409C-BE32-E72D297353CC}">
              <c16:uniqueId val="{00000004-B853-437F-A070-CEEB61CB1353}"/>
            </c:ext>
          </c:extLst>
        </c:ser>
        <c:dLbls>
          <c:showLegendKey val="0"/>
          <c:showVal val="0"/>
          <c:showCatName val="0"/>
          <c:showSerName val="0"/>
          <c:showPercent val="0"/>
          <c:showBubbleSize val="0"/>
        </c:dLbls>
        <c:gapWidth val="219"/>
        <c:overlap val="-27"/>
        <c:axId val="1649924927"/>
        <c:axId val="1649925407"/>
      </c:barChart>
      <c:catAx>
        <c:axId val="1649924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9925407"/>
        <c:crosses val="autoZero"/>
        <c:auto val="1"/>
        <c:lblAlgn val="ctr"/>
        <c:lblOffset val="100"/>
        <c:noMultiLvlLbl val="0"/>
      </c:catAx>
      <c:valAx>
        <c:axId val="1649925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4992492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A41D2-2593-449B-853D-D49E6A1E8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52</Pages>
  <Words>9064</Words>
  <Characters>51666</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Wright</dc:creator>
  <cp:keywords/>
  <dc:description/>
  <cp:lastModifiedBy>James Wright</cp:lastModifiedBy>
  <cp:revision>53</cp:revision>
  <dcterms:created xsi:type="dcterms:W3CDTF">2025-08-11T18:04:00Z</dcterms:created>
  <dcterms:modified xsi:type="dcterms:W3CDTF">2025-08-14T20:23:00Z</dcterms:modified>
</cp:coreProperties>
</file>