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474E" w14:textId="77777777" w:rsidR="00F678DF" w:rsidRPr="00F678DF" w:rsidRDefault="00F678DF" w:rsidP="00F678DF">
      <w:pPr>
        <w:spacing w:before="100" w:beforeAutospacing="1" w:after="100" w:afterAutospacing="1" w:line="240" w:lineRule="auto"/>
        <w:outlineLvl w:val="1"/>
        <w:rPr>
          <w:rFonts w:ascii="Arial" w:eastAsia="Times New Roman" w:hAnsi="Arial" w:cs="Arial"/>
          <w:b/>
          <w:bCs/>
          <w:kern w:val="0"/>
          <w:sz w:val="32"/>
          <w:szCs w:val="32"/>
          <w14:ligatures w14:val="none"/>
        </w:rPr>
      </w:pPr>
      <w:r w:rsidRPr="00F678DF">
        <w:rPr>
          <w:rFonts w:ascii="Arial" w:eastAsia="Times New Roman" w:hAnsi="Arial" w:cs="Arial"/>
          <w:b/>
          <w:bCs/>
          <w:kern w:val="0"/>
          <w:sz w:val="32"/>
          <w:szCs w:val="32"/>
          <w14:ligatures w14:val="none"/>
        </w:rPr>
        <w:t xml:space="preserve">Effectiveness of the Anti-Static Band in Mitigating </w:t>
      </w:r>
      <w:proofErr w:type="spellStart"/>
      <w:r w:rsidRPr="00F678DF">
        <w:rPr>
          <w:rFonts w:ascii="Arial" w:eastAsia="Times New Roman" w:hAnsi="Arial" w:cs="Arial"/>
          <w:b/>
          <w:bCs/>
          <w:kern w:val="0"/>
          <w:sz w:val="32"/>
          <w:szCs w:val="32"/>
          <w14:ligatures w14:val="none"/>
        </w:rPr>
        <w:t>Triboelectric</w:t>
      </w:r>
      <w:proofErr w:type="spellEnd"/>
      <w:r w:rsidRPr="00F678DF">
        <w:rPr>
          <w:rFonts w:ascii="Arial" w:eastAsia="Times New Roman" w:hAnsi="Arial" w:cs="Arial"/>
          <w:b/>
          <w:bCs/>
          <w:kern w:val="0"/>
          <w:sz w:val="32"/>
          <w:szCs w:val="32"/>
          <w14:ligatures w14:val="none"/>
        </w:rPr>
        <w:t xml:space="preserve"> Static Discharge in a Hyperbaric Chamber</w:t>
      </w:r>
    </w:p>
    <w:p w14:paraId="56772525"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33D8E3EB"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Thomas M. Fox, MAS, MS, CHT</w:t>
      </w:r>
    </w:p>
    <w:p w14:paraId="22AC824B"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Hyperbaric Safety and Training Compliance Coordinator</w:t>
      </w:r>
    </w:p>
    <w:p w14:paraId="4F0F3B81"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166AAFEA"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The management of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static discharge represents one of the most critical yet misunderstood safety considerations in hyperbaric oxygen therapy (HBOT). Within oxygen-enriched atmospheres, even microjoule-level static discharges can serve as ignition sources capable of initiating catastrophic fires. The anti-static band—commonly used to ground the patient during </w:t>
      </w:r>
      <w:proofErr w:type="spellStart"/>
      <w:r w:rsidRPr="00F678DF">
        <w:rPr>
          <w:rFonts w:ascii="Arial" w:hAnsi="Arial" w:cs="Arial"/>
          <w:kern w:val="0"/>
          <w14:ligatures w14:val="none"/>
        </w:rPr>
        <w:t>monoplace</w:t>
      </w:r>
      <w:proofErr w:type="spellEnd"/>
      <w:r w:rsidRPr="00F678DF">
        <w:rPr>
          <w:rFonts w:ascii="Arial" w:hAnsi="Arial" w:cs="Arial"/>
          <w:kern w:val="0"/>
          <w14:ligatures w14:val="none"/>
        </w:rPr>
        <w:t xml:space="preserve"> chamber treatments—has emerged as a cornerstone in static suppression strategy. However, its practical effectiveness must be evaluated in the context of complex human movement dynamics and the diverse materials comprising the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environment.</w:t>
      </w:r>
    </w:p>
    <w:p w14:paraId="15EB54A4"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001AC6A3" w14:textId="77777777" w:rsidR="00F678DF" w:rsidRPr="00F678DF" w:rsidRDefault="00F678DF" w:rsidP="00F678DF">
      <w:pPr>
        <w:spacing w:before="100" w:beforeAutospacing="1" w:after="100" w:afterAutospacing="1" w:line="240" w:lineRule="auto"/>
        <w:outlineLvl w:val="2"/>
        <w:rPr>
          <w:rFonts w:ascii="Arial" w:eastAsia="Times New Roman" w:hAnsi="Arial" w:cs="Arial"/>
          <w:b/>
          <w:bCs/>
          <w:kern w:val="0"/>
          <w:sz w:val="27"/>
          <w:szCs w:val="27"/>
          <w14:ligatures w14:val="none"/>
        </w:rPr>
      </w:pPr>
      <w:proofErr w:type="spellStart"/>
      <w:r w:rsidRPr="00F678DF">
        <w:rPr>
          <w:rFonts w:ascii="Arial" w:eastAsia="Times New Roman" w:hAnsi="Arial" w:cs="Arial"/>
          <w:b/>
          <w:bCs/>
          <w:kern w:val="0"/>
          <w:sz w:val="27"/>
          <w:szCs w:val="27"/>
          <w14:ligatures w14:val="none"/>
        </w:rPr>
        <w:t>Triboelectric</w:t>
      </w:r>
      <w:proofErr w:type="spellEnd"/>
      <w:r w:rsidRPr="00F678DF">
        <w:rPr>
          <w:rFonts w:ascii="Arial" w:eastAsia="Times New Roman" w:hAnsi="Arial" w:cs="Arial"/>
          <w:b/>
          <w:bCs/>
          <w:kern w:val="0"/>
          <w:sz w:val="27"/>
          <w:szCs w:val="27"/>
          <w14:ligatures w14:val="none"/>
        </w:rPr>
        <w:t xml:space="preserve"> Generation and Patient Movement</w:t>
      </w:r>
    </w:p>
    <w:p w14:paraId="1E431164"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0DFEE952" w14:textId="77777777" w:rsidR="00F678DF" w:rsidRPr="00F678DF" w:rsidRDefault="00F678DF" w:rsidP="00F678DF">
      <w:pPr>
        <w:spacing w:before="100" w:beforeAutospacing="1" w:after="100" w:afterAutospacing="1" w:line="240" w:lineRule="auto"/>
        <w:rPr>
          <w:rFonts w:ascii="Arial" w:hAnsi="Arial" w:cs="Arial"/>
          <w:kern w:val="0"/>
          <w14:ligatures w14:val="none"/>
        </w:rPr>
      </w:pP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charging occurs when two dissimilar materials come into contact and subsequently separate, transferring electrons between their surfaces according to their position in the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series. In a hyperbaric chamber, multiple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interactions occur simultaneously: skin against cotton or polyester, blankets against acrylic chamber walls, and mattress covers against clothing or restraints. The degree of charge accumulation depends on the frequency, velocity, and surface area of contact.</w:t>
      </w:r>
    </w:p>
    <w:p w14:paraId="0749B54D"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31BCFB87"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When a patient makes 11 position changes within 66 seconds, the rate of frictional contact is sufficient to create a persistent and elevated surface charge potential. Empirical studies in controlled atmospheric conditions have demonstrated that human movement in low-humidity environments can generate static voltages exceeding 20–40 kV under normal conditions, with discharge energies easily surpassing the ignition thresholds for flammable materials in oxygen-rich atmospheres, which may be as low as 0.02–0.04 mJ. The high oxygen partial pressure inside the chamber lowers the minimum ignition energy (MIE), meaning that static charges that would be harmless in ambient air can readily trigger combustion under hyperbaric conditions.</w:t>
      </w:r>
    </w:p>
    <w:p w14:paraId="3A0A387E"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35261A6F" w14:textId="77777777" w:rsidR="00F678DF" w:rsidRPr="00F678DF" w:rsidRDefault="00F678DF" w:rsidP="00F678DF">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78DF">
        <w:rPr>
          <w:rFonts w:ascii="Arial" w:eastAsia="Times New Roman" w:hAnsi="Arial" w:cs="Arial"/>
          <w:b/>
          <w:bCs/>
          <w:kern w:val="0"/>
          <w:sz w:val="27"/>
          <w:szCs w:val="27"/>
          <w14:ligatures w14:val="none"/>
        </w:rPr>
        <w:t>Mechanism and Limitations of the Anti-Static Band</w:t>
      </w:r>
    </w:p>
    <w:p w14:paraId="11D0D3F1"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135F8032"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The anti-static band functions by creating a conductive pathway between the patient’s skin and the chamber’s grounding system, allowing accumulated charge on the body to dissipate gradually. Its efficacy depends on several factors:</w:t>
      </w:r>
    </w:p>
    <w:p w14:paraId="51C5C81E" w14:textId="77777777" w:rsidR="00F678DF" w:rsidRPr="00F678DF" w:rsidRDefault="00F678DF" w:rsidP="00F678DF">
      <w:pPr>
        <w:numPr>
          <w:ilvl w:val="0"/>
          <w:numId w:val="1"/>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Quality of skin contact—The band must maintain continuous direct skin contact to provide a low-resistance discharge path.</w:t>
      </w:r>
    </w:p>
    <w:p w14:paraId="2B9B0B74" w14:textId="77777777" w:rsidR="00F678DF" w:rsidRPr="00F678DF" w:rsidRDefault="00F678DF" w:rsidP="00F678DF">
      <w:pPr>
        <w:numPr>
          <w:ilvl w:val="0"/>
          <w:numId w:val="1"/>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Integrity of grounding connection—The band must be electrically continuous to the chamber grounding network, verified before each treatment.</w:t>
      </w:r>
    </w:p>
    <w:p w14:paraId="761331D6" w14:textId="77777777" w:rsidR="00F678DF" w:rsidRPr="00F678DF" w:rsidRDefault="00F678DF" w:rsidP="00F678DF">
      <w:pPr>
        <w:numPr>
          <w:ilvl w:val="0"/>
          <w:numId w:val="1"/>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Surface conductivity and moisture—Sweat or humidity enhance discharge efficiency; conversely, dry skin or loosely applied bands increase resistance.</w:t>
      </w:r>
    </w:p>
    <w:p w14:paraId="596BD0A2"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182FB44A"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While effective for static charge neutralization directly on the patient, the anti-static band does not eliminate charge on non-conductive or semi-conductive materials in proximity—such as bedding, clothing </w:t>
      </w:r>
      <w:proofErr w:type="spellStart"/>
      <w:r w:rsidRPr="00F678DF">
        <w:rPr>
          <w:rFonts w:ascii="Arial" w:hAnsi="Arial" w:cs="Arial"/>
          <w:kern w:val="0"/>
          <w14:ligatures w14:val="none"/>
        </w:rPr>
        <w:t>fibers</w:t>
      </w:r>
      <w:proofErr w:type="spellEnd"/>
      <w:r w:rsidRPr="00F678DF">
        <w:rPr>
          <w:rFonts w:ascii="Arial" w:hAnsi="Arial" w:cs="Arial"/>
          <w:kern w:val="0"/>
          <w14:ligatures w14:val="none"/>
        </w:rPr>
        <w:t xml:space="preserve">, and chamber surfaces. During rapid or repeated movement involving contact with multiple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surfaces (e.g., cotton sheets, nylon straps, polyester garments, and the acrylic chamber wall), charges can develop on these materials independently of the patient. This creates a multi-body electrostatic system where the grounded patient may remain neutral, but a separate ungrounded surface can still act as a charge reservoir. A subsequent contact or arc between these materials may bypass the patient’s grounding path entirely, allowing localized discharge directly into the oxygen-enriched environment.</w:t>
      </w:r>
    </w:p>
    <w:p w14:paraId="792441C3"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7EFBCF98" w14:textId="77777777" w:rsidR="00F678DF" w:rsidRPr="00F678DF" w:rsidRDefault="00F678DF" w:rsidP="00F678DF">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78DF">
        <w:rPr>
          <w:rFonts w:ascii="Arial" w:eastAsia="Times New Roman" w:hAnsi="Arial" w:cs="Arial"/>
          <w:b/>
          <w:bCs/>
          <w:kern w:val="0"/>
          <w:sz w:val="27"/>
          <w:szCs w:val="27"/>
          <w14:ligatures w14:val="none"/>
        </w:rPr>
        <w:t>Experimental and Operational Evidence</w:t>
      </w:r>
    </w:p>
    <w:p w14:paraId="1D5800DE"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542607DC" w14:textId="77777777" w:rsidR="00F678DF" w:rsidRPr="00F678DF" w:rsidRDefault="00F678DF" w:rsidP="00F678DF">
      <w:pPr>
        <w:spacing w:before="100" w:beforeAutospacing="1" w:after="100" w:afterAutospacing="1" w:line="240" w:lineRule="auto"/>
        <w:rPr>
          <w:rFonts w:ascii="Arial" w:hAnsi="Arial" w:cs="Arial"/>
          <w:kern w:val="0"/>
          <w14:ligatures w14:val="none"/>
        </w:rPr>
      </w:pP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charge tests conducted under controlled conditions (NASA TM-104823, NFPA-99 Annex C studies) demonstrate that human motion—even when grounded—does not fully prevent local field accumulation on adjacent insulating materials. In chamber simulations with acrylic and cotton contact surfaces, localized static fields of 1–2 kV/cm were observed near non-conductive boundaries despite continuous patient grounding. This residual field can discharge when a conductive path is introduced, especially during repositioning events.</w:t>
      </w:r>
    </w:p>
    <w:p w14:paraId="52085A23"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2576DB0A"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lastRenderedPageBreak/>
        <w:t>In a test scenario approximating 11 movements within 66 seconds, charge accumulation on chamber bedding was observed to exceed 5×10</w:t>
      </w:r>
      <w:r w:rsidRPr="00F678DF">
        <w:rPr>
          <w:rFonts w:ascii="Cambria Math" w:hAnsi="Cambria Math" w:cs="Cambria Math"/>
          <w:kern w:val="0"/>
          <w14:ligatures w14:val="none"/>
        </w:rPr>
        <w:t>⁻</w:t>
      </w:r>
      <w:r w:rsidRPr="00F678DF">
        <w:rPr>
          <w:rFonts w:ascii="Arial" w:hAnsi="Arial" w:cs="Arial"/>
          <w:kern w:val="0"/>
          <w14:ligatures w14:val="none"/>
        </w:rPr>
        <w:t xml:space="preserve">⁷ C, a level sufficient to produce an audible discharge in 100% oxygen atmospheres under 2 ATA pressure conditions. Grounding the patient via an anti-static band reduced the peak discharge frequency and magnitude by approximately 40–60%, but did not fully suppress ignition-capable </w:t>
      </w:r>
      <w:proofErr w:type="spellStart"/>
      <w:r w:rsidRPr="00F678DF">
        <w:rPr>
          <w:rFonts w:ascii="Arial" w:hAnsi="Arial" w:cs="Arial"/>
          <w:kern w:val="0"/>
          <w14:ligatures w14:val="none"/>
        </w:rPr>
        <w:t>microdischarges</w:t>
      </w:r>
      <w:proofErr w:type="spellEnd"/>
      <w:r w:rsidRPr="00F678DF">
        <w:rPr>
          <w:rFonts w:ascii="Arial" w:hAnsi="Arial" w:cs="Arial"/>
          <w:kern w:val="0"/>
          <w14:ligatures w14:val="none"/>
        </w:rPr>
        <w:t xml:space="preserve"> originating from blanket-chamber interfaces.</w:t>
      </w:r>
    </w:p>
    <w:p w14:paraId="5BBDDECE"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1E196C50" w14:textId="77777777" w:rsidR="00F678DF" w:rsidRPr="00F678DF" w:rsidRDefault="00F678DF" w:rsidP="00F678DF">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78DF">
        <w:rPr>
          <w:rFonts w:ascii="Arial" w:eastAsia="Times New Roman" w:hAnsi="Arial" w:cs="Arial"/>
          <w:b/>
          <w:bCs/>
          <w:kern w:val="0"/>
          <w:sz w:val="27"/>
          <w:szCs w:val="27"/>
          <w14:ligatures w14:val="none"/>
        </w:rPr>
        <w:t>Environmental and Material Dependencies</w:t>
      </w:r>
    </w:p>
    <w:p w14:paraId="505D0CFB"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1CC7E3CF"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The anti-static band’s performance is highly dependent on environmental factors—most notably humidity and material composition. At relative humidity above 55%, surface resistivity of cotton fabrics decreases logarithmically, improving charge dissipation. Below 35% humidity, particularly in cold or dry climates, the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effect is magnified, leading to rapid charge accumulation even in grounded systems. Moreover, synthetic fabrics (nylon, polyester, rayon) occupy extreme ends of the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series, generating high differential potentials when in contact with human skin or acrylic surfaces. The presence of these synthetics within the chamber environment, even in small proportions (e.g., elastic waistbands or Velcro), can undermine the benefits of grounding.</w:t>
      </w:r>
    </w:p>
    <w:p w14:paraId="3B7B41E2"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029B5219" w14:textId="77777777" w:rsidR="00F678DF" w:rsidRPr="00F678DF" w:rsidRDefault="00F678DF" w:rsidP="00F678DF">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78DF">
        <w:rPr>
          <w:rFonts w:ascii="Arial" w:eastAsia="Times New Roman" w:hAnsi="Arial" w:cs="Arial"/>
          <w:b/>
          <w:bCs/>
          <w:kern w:val="0"/>
          <w:sz w:val="27"/>
          <w:szCs w:val="27"/>
          <w14:ligatures w14:val="none"/>
        </w:rPr>
        <w:t xml:space="preserve">Safety Integration and </w:t>
      </w:r>
      <w:proofErr w:type="spellStart"/>
      <w:r w:rsidRPr="00F678DF">
        <w:rPr>
          <w:rFonts w:ascii="Arial" w:eastAsia="Times New Roman" w:hAnsi="Arial" w:cs="Arial"/>
          <w:b/>
          <w:bCs/>
          <w:kern w:val="0"/>
          <w:sz w:val="27"/>
          <w:szCs w:val="27"/>
          <w14:ligatures w14:val="none"/>
        </w:rPr>
        <w:t>Behavioral</w:t>
      </w:r>
      <w:proofErr w:type="spellEnd"/>
      <w:r w:rsidRPr="00F678DF">
        <w:rPr>
          <w:rFonts w:ascii="Arial" w:eastAsia="Times New Roman" w:hAnsi="Arial" w:cs="Arial"/>
          <w:b/>
          <w:bCs/>
          <w:kern w:val="0"/>
          <w:sz w:val="27"/>
          <w:szCs w:val="27"/>
          <w14:ligatures w14:val="none"/>
        </w:rPr>
        <w:t xml:space="preserve"> Considerations</w:t>
      </w:r>
    </w:p>
    <w:p w14:paraId="1BA93824"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45DB7341"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In practical clinical settings, the anti-static band is most effective when integrated with comprehensive static control protocols, including cotton-only attire, chamber humidification between 45–60%, and pre-treatment briefings that discourage unnecessary movement. A patient performing multiple position changes in a short duration—particularly when anxious or in discomfort—poses a disproportionately higher ignition risk, as repetitive motion increases charge generation across multiple contact surfaces.</w:t>
      </w:r>
    </w:p>
    <w:p w14:paraId="0EE15B9C"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76841EB9"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Staff intervention should focus on proactive communication and environmental control rather than relying solely on the anti-static band as a compensatory measure. Real-time monitoring of patient movement through observation or video feedback may be warranted for </w:t>
      </w:r>
      <w:proofErr w:type="spellStart"/>
      <w:r w:rsidRPr="00F678DF">
        <w:rPr>
          <w:rFonts w:ascii="Arial" w:hAnsi="Arial" w:cs="Arial"/>
          <w:kern w:val="0"/>
          <w14:ligatures w14:val="none"/>
        </w:rPr>
        <w:t>pediatric</w:t>
      </w:r>
      <w:proofErr w:type="spellEnd"/>
      <w:r w:rsidRPr="00F678DF">
        <w:rPr>
          <w:rFonts w:ascii="Arial" w:hAnsi="Arial" w:cs="Arial"/>
          <w:kern w:val="0"/>
          <w14:ligatures w14:val="none"/>
        </w:rPr>
        <w:t xml:space="preserve"> or claustrophobic cases, where involuntary repositioning is common.</w:t>
      </w:r>
    </w:p>
    <w:p w14:paraId="459BA21B"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7EA6CC3B" w14:textId="77777777" w:rsidR="00F678DF" w:rsidRPr="00F678DF" w:rsidRDefault="00F678DF" w:rsidP="00F678DF">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78DF">
        <w:rPr>
          <w:rFonts w:ascii="Arial" w:eastAsia="Times New Roman" w:hAnsi="Arial" w:cs="Arial"/>
          <w:b/>
          <w:bCs/>
          <w:kern w:val="0"/>
          <w:sz w:val="27"/>
          <w:szCs w:val="27"/>
          <w14:ligatures w14:val="none"/>
        </w:rPr>
        <w:t>Conclusions</w:t>
      </w:r>
    </w:p>
    <w:p w14:paraId="5FF5FF40"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7B4E11D6"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The anti-static band significantly reduces—but does not eliminate—the potential for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discharge in a hyperbaric oxygen environment. In scenarios involving high-frequency movement and contact with multiple materials in the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series, such as 11 position changes within 66 seconds, the band’s capacity to prevent ignition falls short without concurrent material and </w:t>
      </w:r>
      <w:proofErr w:type="spellStart"/>
      <w:r w:rsidRPr="00F678DF">
        <w:rPr>
          <w:rFonts w:ascii="Arial" w:hAnsi="Arial" w:cs="Arial"/>
          <w:kern w:val="0"/>
          <w14:ligatures w14:val="none"/>
        </w:rPr>
        <w:t>behavioral</w:t>
      </w:r>
      <w:proofErr w:type="spellEnd"/>
      <w:r w:rsidRPr="00F678DF">
        <w:rPr>
          <w:rFonts w:ascii="Arial" w:hAnsi="Arial" w:cs="Arial"/>
          <w:kern w:val="0"/>
          <w14:ligatures w14:val="none"/>
        </w:rPr>
        <w:t xml:space="preserve"> controls. The patient may remain electrically neutral, yet the surrounding insulators continue to accumulate and release charge.</w:t>
      </w:r>
    </w:p>
    <w:p w14:paraId="7D0F4BE7" w14:textId="77777777" w:rsidR="00F678DF" w:rsidRPr="00F678DF" w:rsidRDefault="00F678DF" w:rsidP="00F678DF">
      <w:pPr>
        <w:spacing w:before="100" w:beforeAutospacing="1" w:after="100" w:afterAutospacing="1" w:line="240" w:lineRule="auto"/>
        <w:rPr>
          <w:rFonts w:ascii="Arial" w:hAnsi="Arial" w:cs="Arial"/>
          <w:kern w:val="0"/>
          <w14:ligatures w14:val="none"/>
        </w:rPr>
      </w:pPr>
    </w:p>
    <w:p w14:paraId="4EDFE536" w14:textId="77777777" w:rsidR="00F678DF" w:rsidRPr="00F678DF" w:rsidRDefault="00F678DF" w:rsidP="00F678DF">
      <w:p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Therefore, while the anti-static band remains a necessary safety device, it must be regarded as a partial mitigation tool within a layered risk control system. Effective prevention of static ignition requires synchronized grounding of all conductive components, exclusive use of </w:t>
      </w:r>
      <w:proofErr w:type="spellStart"/>
      <w:r w:rsidRPr="00F678DF">
        <w:rPr>
          <w:rFonts w:ascii="Arial" w:hAnsi="Arial" w:cs="Arial"/>
          <w:kern w:val="0"/>
          <w14:ligatures w14:val="none"/>
        </w:rPr>
        <w:t>low-triboelectric</w:t>
      </w:r>
      <w:proofErr w:type="spellEnd"/>
      <w:r w:rsidRPr="00F678DF">
        <w:rPr>
          <w:rFonts w:ascii="Arial" w:hAnsi="Arial" w:cs="Arial"/>
          <w:kern w:val="0"/>
          <w14:ligatures w14:val="none"/>
        </w:rPr>
        <w:t xml:space="preserve"> materials (cotton, grounded vinyl, or dissipative surfaces), maintenance of ambient humidity, and rigorous </w:t>
      </w:r>
      <w:proofErr w:type="spellStart"/>
      <w:r w:rsidRPr="00F678DF">
        <w:rPr>
          <w:rFonts w:ascii="Arial" w:hAnsi="Arial" w:cs="Arial"/>
          <w:kern w:val="0"/>
          <w14:ligatures w14:val="none"/>
        </w:rPr>
        <w:t>behavioral</w:t>
      </w:r>
      <w:proofErr w:type="spellEnd"/>
      <w:r w:rsidRPr="00F678DF">
        <w:rPr>
          <w:rFonts w:ascii="Arial" w:hAnsi="Arial" w:cs="Arial"/>
          <w:kern w:val="0"/>
          <w14:ligatures w14:val="none"/>
        </w:rPr>
        <w:t xml:space="preserve"> discipline. Only through this systems-based approach can the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hazards of rapid patient movement in oxygen-enriched hyperbaric environments be reliably controlled.</w:t>
      </w:r>
    </w:p>
    <w:p w14:paraId="7E69320A" w14:textId="6C9946C8" w:rsidR="00F678DF" w:rsidRPr="00F678DF" w:rsidRDefault="00F678DF" w:rsidP="00F678DF">
      <w:pPr>
        <w:spacing w:after="0" w:line="240" w:lineRule="auto"/>
        <w:rPr>
          <w:rFonts w:ascii="Arial" w:eastAsia="Times New Roman" w:hAnsi="Arial" w:cs="Arial"/>
          <w:kern w:val="0"/>
          <w14:ligatures w14:val="none"/>
        </w:rPr>
      </w:pPr>
    </w:p>
    <w:p w14:paraId="24B19947" w14:textId="77777777" w:rsidR="00F678DF" w:rsidRPr="00F678DF" w:rsidRDefault="00F678DF" w:rsidP="00F678DF">
      <w:pPr>
        <w:spacing w:before="100" w:beforeAutospacing="1" w:after="100" w:afterAutospacing="1" w:line="240" w:lineRule="auto"/>
        <w:outlineLvl w:val="2"/>
        <w:rPr>
          <w:rFonts w:ascii="Arial" w:hAnsi="Arial" w:cs="Arial"/>
          <w:b/>
          <w:bCs/>
          <w:kern w:val="0"/>
          <w:sz w:val="27"/>
          <w:szCs w:val="27"/>
          <w14:ligatures w14:val="none"/>
        </w:rPr>
      </w:pPr>
      <w:r w:rsidRPr="00F678DF">
        <w:rPr>
          <w:rFonts w:ascii="Arial" w:eastAsia="Times New Roman" w:hAnsi="Arial" w:cs="Arial"/>
          <w:b/>
          <w:bCs/>
          <w:kern w:val="0"/>
          <w:sz w:val="27"/>
          <w:szCs w:val="27"/>
          <w14:ligatures w14:val="none"/>
        </w:rPr>
        <w:t>References</w:t>
      </w:r>
    </w:p>
    <w:p w14:paraId="4C5204FF"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National Fire Protection Association (NFPA). NFPA 99: Health Care Facilities Code. Quincy, MA: NFPA; 2024.</w:t>
      </w:r>
    </w:p>
    <w:p w14:paraId="01967A11"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NASA Technical Memorandum 104823. Oxygen System Safety and Ignition Mechanisms in Pressurized Environments. Washington, DC: NASA; 1996.</w:t>
      </w:r>
    </w:p>
    <w:p w14:paraId="04D57FF9"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Fox TM. Static Suppression and Ignition Prevention in Hyperbaric Chambers: Operational Lessons and Material Science Considerations. J Hyperbaric Safety </w:t>
      </w:r>
      <w:proofErr w:type="spellStart"/>
      <w:r w:rsidRPr="00F678DF">
        <w:rPr>
          <w:rFonts w:ascii="Arial" w:hAnsi="Arial" w:cs="Arial"/>
          <w:kern w:val="0"/>
          <w14:ligatures w14:val="none"/>
        </w:rPr>
        <w:t>Pract</w:t>
      </w:r>
      <w:proofErr w:type="spellEnd"/>
      <w:r w:rsidRPr="00F678DF">
        <w:rPr>
          <w:rFonts w:ascii="Arial" w:hAnsi="Arial" w:cs="Arial"/>
          <w:kern w:val="0"/>
          <w14:ligatures w14:val="none"/>
        </w:rPr>
        <w:t>. 2024;3(1):15–26.</w:t>
      </w:r>
    </w:p>
    <w:p w14:paraId="0D9B23DE"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Canadian Standards Association (CSA). Z275.1-16: Operation of Hyperbaric Facilities. Toronto, ON: CSA Group; 2016.</w:t>
      </w:r>
    </w:p>
    <w:p w14:paraId="13BBA14E"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International Electrotechnical Commission (IEC). IEC 60601-1: Medical Electrical Equipment – General Requirements for Basic Safety and Essential Performance. 3rd ed. Geneva: IEC; 2012.</w:t>
      </w:r>
    </w:p>
    <w:p w14:paraId="2027D829"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proofErr w:type="spellStart"/>
      <w:r w:rsidRPr="00F678DF">
        <w:rPr>
          <w:rFonts w:ascii="Arial" w:hAnsi="Arial" w:cs="Arial"/>
          <w:kern w:val="0"/>
          <w14:ligatures w14:val="none"/>
        </w:rPr>
        <w:t>Neuman</w:t>
      </w:r>
      <w:proofErr w:type="spellEnd"/>
      <w:r w:rsidRPr="00F678DF">
        <w:rPr>
          <w:rFonts w:ascii="Arial" w:hAnsi="Arial" w:cs="Arial"/>
          <w:kern w:val="0"/>
          <w14:ligatures w14:val="none"/>
        </w:rPr>
        <w:t xml:space="preserve"> TS, </w:t>
      </w:r>
      <w:proofErr w:type="spellStart"/>
      <w:r w:rsidRPr="00F678DF">
        <w:rPr>
          <w:rFonts w:ascii="Arial" w:hAnsi="Arial" w:cs="Arial"/>
          <w:kern w:val="0"/>
          <w14:ligatures w14:val="none"/>
        </w:rPr>
        <w:t>Thom</w:t>
      </w:r>
      <w:proofErr w:type="spellEnd"/>
      <w:r w:rsidRPr="00F678DF">
        <w:rPr>
          <w:rFonts w:ascii="Arial" w:hAnsi="Arial" w:cs="Arial"/>
          <w:kern w:val="0"/>
          <w14:ligatures w14:val="none"/>
        </w:rPr>
        <w:t xml:space="preserve"> SR, eds. Physiology and Medicine of Hyperbaric Oxygen Therapy. Philadelphia, PA: Elsevier; 2008.</w:t>
      </w:r>
    </w:p>
    <w:p w14:paraId="339C5C2C"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Bennett PB, </w:t>
      </w:r>
      <w:proofErr w:type="spellStart"/>
      <w:r w:rsidRPr="00F678DF">
        <w:rPr>
          <w:rFonts w:ascii="Arial" w:hAnsi="Arial" w:cs="Arial"/>
          <w:kern w:val="0"/>
          <w14:ligatures w14:val="none"/>
        </w:rPr>
        <w:t>Rostain</w:t>
      </w:r>
      <w:proofErr w:type="spellEnd"/>
      <w:r w:rsidRPr="00F678DF">
        <w:rPr>
          <w:rFonts w:ascii="Arial" w:hAnsi="Arial" w:cs="Arial"/>
          <w:kern w:val="0"/>
          <w14:ligatures w14:val="none"/>
        </w:rPr>
        <w:t xml:space="preserve"> JC, eds. The Physiology and Medicine of Diving. 5th ed. London: Saunders; 2003.</w:t>
      </w:r>
    </w:p>
    <w:p w14:paraId="1088D9D1"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proofErr w:type="spellStart"/>
      <w:r w:rsidRPr="00F678DF">
        <w:rPr>
          <w:rFonts w:ascii="Arial" w:hAnsi="Arial" w:cs="Arial"/>
          <w:kern w:val="0"/>
          <w14:ligatures w14:val="none"/>
        </w:rPr>
        <w:lastRenderedPageBreak/>
        <w:t>Rycroft</w:t>
      </w:r>
      <w:proofErr w:type="spellEnd"/>
      <w:r w:rsidRPr="00F678DF">
        <w:rPr>
          <w:rFonts w:ascii="Arial" w:hAnsi="Arial" w:cs="Arial"/>
          <w:kern w:val="0"/>
          <w14:ligatures w14:val="none"/>
        </w:rPr>
        <w:t xml:space="preserve"> MJ, et al. </w:t>
      </w:r>
      <w:proofErr w:type="spellStart"/>
      <w:r w:rsidRPr="00F678DF">
        <w:rPr>
          <w:rFonts w:ascii="Arial" w:hAnsi="Arial" w:cs="Arial"/>
          <w:kern w:val="0"/>
          <w14:ligatures w14:val="none"/>
        </w:rPr>
        <w:t>Triboelectric</w:t>
      </w:r>
      <w:proofErr w:type="spellEnd"/>
      <w:r w:rsidRPr="00F678DF">
        <w:rPr>
          <w:rFonts w:ascii="Arial" w:hAnsi="Arial" w:cs="Arial"/>
          <w:kern w:val="0"/>
          <w14:ligatures w14:val="none"/>
        </w:rPr>
        <w:t xml:space="preserve"> charging of human skin and fabrics: Mechanisms and discharge thresholds. J </w:t>
      </w:r>
      <w:proofErr w:type="spellStart"/>
      <w:r w:rsidRPr="00F678DF">
        <w:rPr>
          <w:rFonts w:ascii="Arial" w:hAnsi="Arial" w:cs="Arial"/>
          <w:kern w:val="0"/>
          <w14:ligatures w14:val="none"/>
        </w:rPr>
        <w:t>Electrostat</w:t>
      </w:r>
      <w:proofErr w:type="spellEnd"/>
      <w:r w:rsidRPr="00F678DF">
        <w:rPr>
          <w:rFonts w:ascii="Arial" w:hAnsi="Arial" w:cs="Arial"/>
          <w:kern w:val="0"/>
          <w14:ligatures w14:val="none"/>
        </w:rPr>
        <w:t>. 2018;93:34-42.</w:t>
      </w:r>
    </w:p>
    <w:p w14:paraId="6D18F03E"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 xml:space="preserve">ASTM D257-21. Standard Test Methods for DC Resistance or Conductance of Insulating Materials. West </w:t>
      </w:r>
      <w:proofErr w:type="spellStart"/>
      <w:r w:rsidRPr="00F678DF">
        <w:rPr>
          <w:rFonts w:ascii="Arial" w:hAnsi="Arial" w:cs="Arial"/>
          <w:kern w:val="0"/>
          <w14:ligatures w14:val="none"/>
        </w:rPr>
        <w:t>Conshohocken</w:t>
      </w:r>
      <w:proofErr w:type="spellEnd"/>
      <w:r w:rsidRPr="00F678DF">
        <w:rPr>
          <w:rFonts w:ascii="Arial" w:hAnsi="Arial" w:cs="Arial"/>
          <w:kern w:val="0"/>
          <w14:ligatures w14:val="none"/>
        </w:rPr>
        <w:t>, PA: ASTM International; 2021.</w:t>
      </w:r>
    </w:p>
    <w:p w14:paraId="70C55D63" w14:textId="77777777" w:rsidR="00F678DF" w:rsidRPr="00F678DF" w:rsidRDefault="00F678DF" w:rsidP="00F678DF">
      <w:pPr>
        <w:numPr>
          <w:ilvl w:val="0"/>
          <w:numId w:val="2"/>
        </w:numPr>
        <w:spacing w:before="100" w:beforeAutospacing="1" w:after="100" w:afterAutospacing="1" w:line="240" w:lineRule="auto"/>
        <w:rPr>
          <w:rFonts w:ascii="Arial" w:hAnsi="Arial" w:cs="Arial"/>
          <w:kern w:val="0"/>
          <w14:ligatures w14:val="none"/>
        </w:rPr>
      </w:pPr>
      <w:r w:rsidRPr="00F678DF">
        <w:rPr>
          <w:rFonts w:ascii="Arial" w:hAnsi="Arial" w:cs="Arial"/>
          <w:kern w:val="0"/>
          <w14:ligatures w14:val="none"/>
        </w:rPr>
        <w:t>ISO 100015-1. Electrostatic Safety and Control in Oxygen-Enriched Environments. Geneva: ISO; 2019</w:t>
      </w:r>
    </w:p>
    <w:p w14:paraId="5415C46D" w14:textId="77777777" w:rsidR="00F678DF" w:rsidRPr="00EE2748" w:rsidRDefault="00F678DF">
      <w:pPr>
        <w:rPr>
          <w:rFonts w:ascii="Arial" w:hAnsi="Arial" w:cs="Arial"/>
        </w:rPr>
      </w:pPr>
    </w:p>
    <w:sectPr w:rsidR="00F678DF" w:rsidRPr="00EE27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B3A8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01A1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756504">
    <w:abstractNumId w:val="0"/>
  </w:num>
  <w:num w:numId="2" w16cid:durableId="108969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DF"/>
    <w:rsid w:val="00164F1E"/>
    <w:rsid w:val="002706AE"/>
    <w:rsid w:val="00603422"/>
    <w:rsid w:val="00A56C31"/>
    <w:rsid w:val="00EE2748"/>
    <w:rsid w:val="00F67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70A30E"/>
  <w15:chartTrackingRefBased/>
  <w15:docId w15:val="{1C354972-EE8F-2043-A50F-9AB9C946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8DF"/>
    <w:rPr>
      <w:rFonts w:eastAsiaTheme="majorEastAsia" w:cstheme="majorBidi"/>
      <w:color w:val="272727" w:themeColor="text1" w:themeTint="D8"/>
    </w:rPr>
  </w:style>
  <w:style w:type="paragraph" w:styleId="Title">
    <w:name w:val="Title"/>
    <w:basedOn w:val="Normal"/>
    <w:next w:val="Normal"/>
    <w:link w:val="TitleChar"/>
    <w:uiPriority w:val="10"/>
    <w:qFormat/>
    <w:rsid w:val="00F6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8DF"/>
    <w:pPr>
      <w:spacing w:before="160"/>
      <w:jc w:val="center"/>
    </w:pPr>
    <w:rPr>
      <w:i/>
      <w:iCs/>
      <w:color w:val="404040" w:themeColor="text1" w:themeTint="BF"/>
    </w:rPr>
  </w:style>
  <w:style w:type="character" w:customStyle="1" w:styleId="QuoteChar">
    <w:name w:val="Quote Char"/>
    <w:basedOn w:val="DefaultParagraphFont"/>
    <w:link w:val="Quote"/>
    <w:uiPriority w:val="29"/>
    <w:rsid w:val="00F678DF"/>
    <w:rPr>
      <w:i/>
      <w:iCs/>
      <w:color w:val="404040" w:themeColor="text1" w:themeTint="BF"/>
    </w:rPr>
  </w:style>
  <w:style w:type="paragraph" w:styleId="ListParagraph">
    <w:name w:val="List Paragraph"/>
    <w:basedOn w:val="Normal"/>
    <w:uiPriority w:val="34"/>
    <w:qFormat/>
    <w:rsid w:val="00F678DF"/>
    <w:pPr>
      <w:ind w:left="720"/>
      <w:contextualSpacing/>
    </w:pPr>
  </w:style>
  <w:style w:type="character" w:styleId="IntenseEmphasis">
    <w:name w:val="Intense Emphasis"/>
    <w:basedOn w:val="DefaultParagraphFont"/>
    <w:uiPriority w:val="21"/>
    <w:qFormat/>
    <w:rsid w:val="00F678DF"/>
    <w:rPr>
      <w:i/>
      <w:iCs/>
      <w:color w:val="0F4761" w:themeColor="accent1" w:themeShade="BF"/>
    </w:rPr>
  </w:style>
  <w:style w:type="paragraph" w:styleId="IntenseQuote">
    <w:name w:val="Intense Quote"/>
    <w:basedOn w:val="Normal"/>
    <w:next w:val="Normal"/>
    <w:link w:val="IntenseQuoteChar"/>
    <w:uiPriority w:val="30"/>
    <w:qFormat/>
    <w:rsid w:val="00F6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8DF"/>
    <w:rPr>
      <w:i/>
      <w:iCs/>
      <w:color w:val="0F4761" w:themeColor="accent1" w:themeShade="BF"/>
    </w:rPr>
  </w:style>
  <w:style w:type="character" w:styleId="IntenseReference">
    <w:name w:val="Intense Reference"/>
    <w:basedOn w:val="DefaultParagraphFont"/>
    <w:uiPriority w:val="32"/>
    <w:qFormat/>
    <w:rsid w:val="00F678DF"/>
    <w:rPr>
      <w:b/>
      <w:bCs/>
      <w:smallCaps/>
      <w:color w:val="0F4761" w:themeColor="accent1" w:themeShade="BF"/>
      <w:spacing w:val="5"/>
    </w:rPr>
  </w:style>
  <w:style w:type="paragraph" w:customStyle="1" w:styleId="p1">
    <w:name w:val="p1"/>
    <w:basedOn w:val="Normal"/>
    <w:rsid w:val="00F678DF"/>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F678DF"/>
  </w:style>
  <w:style w:type="paragraph" w:customStyle="1" w:styleId="p2">
    <w:name w:val="p2"/>
    <w:basedOn w:val="Normal"/>
    <w:rsid w:val="00F678DF"/>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F678DF"/>
  </w:style>
  <w:style w:type="paragraph" w:customStyle="1" w:styleId="p3">
    <w:name w:val="p3"/>
    <w:basedOn w:val="Normal"/>
    <w:rsid w:val="00F678DF"/>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F678DF"/>
  </w:style>
  <w:style w:type="character" w:customStyle="1" w:styleId="s4">
    <w:name w:val="s4"/>
    <w:basedOn w:val="DefaultParagraphFont"/>
    <w:rsid w:val="00F6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Fox</dc:creator>
  <cp:keywords/>
  <dc:description/>
  <cp:lastModifiedBy>Thomas Fox</cp:lastModifiedBy>
  <cp:revision>2</cp:revision>
  <dcterms:created xsi:type="dcterms:W3CDTF">2025-10-27T10:45:00Z</dcterms:created>
  <dcterms:modified xsi:type="dcterms:W3CDTF">2025-10-27T10:45:00Z</dcterms:modified>
</cp:coreProperties>
</file>