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1F4E79"/>
          <w:sz w:val="48"/>
          <w:szCs w:val="48"/>
        </w:rPr>
        <w:t xml:space="preserve">IBOGAINE vs. HYPERBARIC OXYGEN THERAPY</w:t>
      </w:r>
    </w:p>
    <w:p>
      <w:pPr>
        <w:spacing w:after="60" w:before="0"/>
        <w:jc w:val="center"/>
      </w:pPr>
      <w:r>
        <w:rPr>
          <w:rFonts w:ascii="Arial" w:cs="Arial" w:eastAsia="Arial" w:hAnsi="Arial"/>
          <w:b/>
          <w:bCs/>
          <w:color w:val="2E75B6"/>
          <w:sz w:val="36"/>
          <w:szCs w:val="36"/>
        </w:rPr>
        <w:t xml:space="preserve">FOR VETERAN TBI AND PTSD</w:t>
      </w:r>
    </w:p>
    <w:p>
      <w:pPr>
        <w:pBdr>
          <w:bottom w:val="single" w:color="2E75B6" w:sz="6" w:space="1"/>
        </w:pBdr>
        <w:spacing w:after="60" w:before="60"/>
        <w:jc w:val="center"/>
      </w:pPr>
      <w:r>
        <w:rPr>
          <w:rFonts w:ascii="Arial" w:cs="Arial" w:eastAsia="Arial" w:hAnsi="Arial"/>
          <w:i/>
          <w:iCs/>
          <w:color w:val="555555"/>
          <w:sz w:val="22"/>
          <w:szCs w:val="22"/>
        </w:rPr>
        <w:t xml:space="preserve">Comprehensive Review of Clinical Trials, Mechanisms of Brain Wound Healing, and Comparative Analysis</w:t>
      </w:r>
    </w:p>
    <w:p>
      <w:pPr>
        <w:spacing w:after="240" w:before="80"/>
        <w:jc w:val="center"/>
      </w:pPr>
      <w:r>
        <w:rPr>
          <w:rFonts w:ascii="Arial" w:cs="Arial" w:eastAsia="Arial" w:hAnsi="Arial"/>
          <w:color w:val="888888"/>
          <w:sz w:val="20"/>
          <w:szCs w:val="20"/>
        </w:rPr>
        <w:t xml:space="preserve">Research Summary | April 2026 | Updated Edition</w:t>
      </w:r>
    </w:p>
    <w:p>
      <w:pPr>
        <w:pStyle w:val="Heading1"/>
        <w:spacing w:after="120" w:before="360"/>
      </w:pPr>
      <w:r>
        <w:rPr>
          <w:rFonts w:ascii="Arial" w:cs="Arial" w:eastAsia="Arial" w:hAnsi="Arial"/>
          <w:b/>
          <w:bCs/>
          <w:color w:val="1F4E79"/>
          <w:sz w:val="32"/>
          <w:szCs w:val="32"/>
        </w:rPr>
        <w:t xml:space="preserve">PART I: HYPERBARIC OXYGEN THERAPY — COMPLETE CLINICAL TRIAL CATALOG</w:t>
      </w:r>
    </w:p>
    <w:p>
      <w:pPr>
        <w:pBdr>
          <w:bottom w:val="single" w:color="2E75B6" w:sz="4" w:space="1"/>
        </w:pBdr>
        <w:spacing w:after="120" w:before="120"/>
      </w:pPr>
    </w:p>
    <w:p>
      <w:pPr>
        <w:spacing w:after="80" w:before="80"/>
      </w:pPr>
      <w:r>
        <w:rPr>
          <w:rFonts w:ascii="Arial" w:cs="Arial" w:eastAsia="Arial" w:hAnsi="Arial"/>
          <w:sz w:val="22"/>
          <w:szCs w:val="22"/>
        </w:rPr>
        <w:t xml:space="preserve">The following catalogs every major HBOT clinical study relevant to veteran TBI and PTSD, organized chronologically. Studies span from the earliest randomized trials in severe TBI (1992) through the most recent RCTs targeting PTSD as a primary endpoint and the ongoing definitive trial at USF Health (2024–present).</w:t>
      </w:r>
    </w:p>
    <w:p>
      <w:pPr>
        <w:pStyle w:val="Heading2"/>
        <w:spacing w:after="80" w:before="240"/>
      </w:pPr>
      <w:r>
        <w:rPr>
          <w:rFonts w:ascii="Arial" w:cs="Arial" w:eastAsia="Arial" w:hAnsi="Arial"/>
          <w:b/>
          <w:bCs/>
          <w:color w:val="2E75B6"/>
          <w:sz w:val="26"/>
          <w:szCs w:val="26"/>
        </w:rPr>
        <w:t xml:space="preserve">GROUP A: Foundational &amp; Severe TBI Trials (1992–2013)</w:t>
      </w:r>
    </w:p>
    <w:p>
      <w:pPr>
        <w:spacing w:after="60" w:before="200"/>
      </w:pPr>
      <w:r>
        <w:rPr>
          <w:rFonts w:ascii="Arial" w:cs="Arial" w:eastAsia="Arial" w:hAnsi="Arial"/>
          <w:b/>
          <w:bCs/>
          <w:color w:val="404040"/>
          <w:sz w:val="24"/>
          <w:szCs w:val="24"/>
        </w:rPr>
        <w:t xml:space="preserve">1. Rockswold GL et al. (1992) — J Neurosurg | Prospective RCT, Severe TBI</w:t>
      </w:r>
    </w:p>
    <w:p>
      <w:pPr>
        <w:spacing w:after="60" w:before="60"/>
        <w:ind w:left="600"/>
      </w:pPr>
      <w:r>
        <w:rPr>
          <w:rFonts w:ascii="Arial" w:cs="Arial" w:eastAsia="Arial" w:hAnsi="Arial"/>
          <w:i/>
          <w:iCs/>
          <w:color w:val="555555"/>
          <w:sz w:val="19"/>
          <w:szCs w:val="19"/>
        </w:rPr>
        <w:t xml:space="preserve">Results of a prospective randomized trial for treatment of severely brain-injured patients with hyperbaric oxygen. J Neurosurg 76(6):929-934.</w:t>
      </w:r>
    </w:p>
    <w:p>
      <w:pPr>
        <w:spacing w:after="80" w:before="80"/>
      </w:pPr>
      <w:r>
        <w:rPr>
          <w:rFonts w:ascii="Arial" w:cs="Arial" w:eastAsia="Arial" w:hAnsi="Arial"/>
          <w:sz w:val="22"/>
          <w:szCs w:val="22"/>
        </w:rPr>
        <w:t xml:space="preserve">One of the earliest RCTs of HBOT in TBI. Enrolled severely injured patients (GCS 3–8) and demonstrated reduced mortality in the HBOT arm, along with improvements in cerebral metabolic rate of oxygen (CMRO2). Established the foundational rationale that hyperbaric oxygen could rescue metabolically compromised, non-lethal brain tissue. This 'post-treatment effect' — where benefits emerge after sessions end rather than during — became a defining concept for understanding how HBOT works in chronic brain injury.</w:t>
      </w:r>
    </w:p>
    <w:p>
      <w:pPr>
        <w:spacing w:after="60" w:before="200"/>
      </w:pPr>
      <w:r>
        <w:rPr>
          <w:rFonts w:ascii="Arial" w:cs="Arial" w:eastAsia="Arial" w:hAnsi="Arial"/>
          <w:b/>
          <w:bCs/>
          <w:color w:val="404040"/>
          <w:sz w:val="24"/>
          <w:szCs w:val="24"/>
        </w:rPr>
        <w:t xml:space="preserve">2. Rockswold SB et al. (2010) — J Neurosurg | Prospective RCT, Severe TBI, HBO2 vs Normobaric Hyperoxia</w:t>
      </w:r>
    </w:p>
    <w:p>
      <w:pPr>
        <w:spacing w:after="60" w:before="60"/>
        <w:ind w:left="600"/>
      </w:pPr>
      <w:r>
        <w:rPr>
          <w:rFonts w:ascii="Arial" w:cs="Arial" w:eastAsia="Arial" w:hAnsi="Arial"/>
          <w:i/>
          <w:iCs/>
          <w:color w:val="555555"/>
          <w:sz w:val="19"/>
          <w:szCs w:val="19"/>
        </w:rPr>
        <w:t xml:space="preserve">A prospective, randomized clinical trial to compare the effect of hyperbaric to normobaric hyperoxia on cerebral metabolism, intracranial pressure, and oxygen toxicity in severe TBI. J Neurosurg 112(5):1080-1094.</w:t>
      </w:r>
    </w:p>
    <w:p>
      <w:pPr>
        <w:spacing w:after="80" w:before="80"/>
      </w:pPr>
      <w:r>
        <w:rPr>
          <w:rFonts w:ascii="Arial" w:cs="Arial" w:eastAsia="Arial" w:hAnsi="Arial"/>
          <w:sz w:val="22"/>
          <w:szCs w:val="22"/>
        </w:rPr>
        <w:t xml:space="preserve">69 patients with severe TBI (mean GCS 5.8) were randomized to HBOT at 1.5 ATA, normobaric hyperoxia (NBH), or standard care. The study directly compared HBOT and NBH, finding HBOT produced a more robust post-treatment effect on oxidative cerebral metabolism — specifically the ability to raise brain tissue PO₂ ≥ 200 mmHg. This mattered because HBOT's beneficial effects on brain metabolism persist after sessions end, explained by retention of oxygen in chronically hypoperfused tissue. No signs of oxygen toxicity were found. Conclusion: oxygen treatment for severe TBI is not all-or-nothing but a graduated dose-dependent effect.</w:t>
      </w:r>
    </w:p>
    <w:p>
      <w:pPr>
        <w:spacing w:after="60" w:before="200"/>
      </w:pPr>
      <w:r>
        <w:rPr>
          <w:rFonts w:ascii="Arial" w:cs="Arial" w:eastAsia="Arial" w:hAnsi="Arial"/>
          <w:b/>
          <w:bCs/>
          <w:color w:val="404040"/>
          <w:sz w:val="24"/>
          <w:szCs w:val="24"/>
        </w:rPr>
        <w:t xml:space="preserve">3. Rockswold SB et al. (2013) — J Neurosurg | Phase II RCT, Combined HBO2/NBH</w:t>
      </w:r>
    </w:p>
    <w:p>
      <w:pPr>
        <w:spacing w:after="80" w:before="80"/>
      </w:pPr>
      <w:r>
        <w:rPr>
          <w:rFonts w:ascii="Arial" w:cs="Arial" w:eastAsia="Arial" w:hAnsi="Arial"/>
          <w:sz w:val="22"/>
          <w:szCs w:val="22"/>
        </w:rPr>
        <w:t xml:space="preserve">42 patients with severe TBI randomized within 24 hours of injury to combined HBOT/NBH (60 minutes at 1.5 ATA followed by 3 hours of 100% O₂ at 1.0 ATA) versus standard care. Combined treatment showed superior improvement in cerebral metabolism and intracranial pressure compared to either modality alone. This study established the concept of sequential hyperoxia protocols as potentially superior to HBOT alone, and provided the metabolic evidence base for later protocols used in chronic TBI and PTSD trials.</w:t>
      </w:r>
    </w:p>
    <w:p>
      <w:pPr>
        <w:spacing w:after="60" w:before="200"/>
      </w:pPr>
      <w:r>
        <w:rPr>
          <w:rFonts w:ascii="Arial" w:cs="Arial" w:eastAsia="Arial" w:hAnsi="Arial"/>
          <w:b/>
          <w:bCs/>
          <w:color w:val="404040"/>
          <w:sz w:val="24"/>
          <w:szCs w:val="24"/>
        </w:rPr>
        <w:t xml:space="preserve">4. Lin et al. (2008) — Acta Neurochir Suppl | RCT, Moderate-Severe TBI</w:t>
      </w:r>
    </w:p>
    <w:p>
      <w:pPr>
        <w:spacing w:after="60" w:before="60"/>
        <w:ind w:left="600"/>
      </w:pPr>
      <w:r>
        <w:rPr>
          <w:rFonts w:ascii="Arial" w:cs="Arial" w:eastAsia="Arial" w:hAnsi="Arial"/>
          <w:i/>
          <w:iCs/>
          <w:color w:val="555555"/>
          <w:sz w:val="19"/>
          <w:szCs w:val="19"/>
        </w:rPr>
        <w:t xml:space="preserve">Effect of hyperbaric oxygen on patients with traumatic brain injury. Acta Neurochir Suppl 101:145-149.</w:t>
      </w:r>
    </w:p>
    <w:p>
      <w:pPr>
        <w:spacing w:after="80" w:before="80"/>
      </w:pPr>
      <w:r>
        <w:rPr>
          <w:rFonts w:ascii="Arial" w:cs="Arial" w:eastAsia="Arial" w:hAnsi="Arial"/>
          <w:sz w:val="22"/>
          <w:szCs w:val="22"/>
        </w:rPr>
        <w:t xml:space="preserve">Taiwanese RCT examining HBOT in moderate to severe TBI patients. Results showed improved GCS scores and Glasgow Outcome Scale (GOS) in the HBOT group compared to controls. Contributed to the meta-analytic evidence base showing HBOT's benefits in improving neurological outcomes and reducing mortality in acute TBI — particularly relevant as establishing the principle across different patient populations.</w:t>
      </w:r>
    </w:p>
    <w:p>
      <w:pPr>
        <w:spacing w:after="60" w:before="200"/>
      </w:pPr>
      <w:r>
        <w:rPr>
          <w:rFonts w:ascii="Arial" w:cs="Arial" w:eastAsia="Arial" w:hAnsi="Arial"/>
          <w:b/>
          <w:bCs/>
          <w:color w:val="404040"/>
          <w:sz w:val="24"/>
          <w:szCs w:val="24"/>
        </w:rPr>
        <w:t xml:space="preserve">5. Boussi-Gross et al. (2013) — PLOS ONE | Randomized Prospective Trial, Chronic mTBI / Post-Concussion Syndrome</w:t>
      </w:r>
    </w:p>
    <w:p>
      <w:pPr>
        <w:spacing w:after="60" w:before="60"/>
        <w:ind w:left="600"/>
      </w:pPr>
      <w:r>
        <w:rPr>
          <w:rFonts w:ascii="Arial" w:cs="Arial" w:eastAsia="Arial" w:hAnsi="Arial"/>
          <w:i/>
          <w:iCs/>
          <w:color w:val="555555"/>
          <w:sz w:val="19"/>
          <w:szCs w:val="19"/>
        </w:rPr>
        <w:t xml:space="preserve">NCT00715052 | PLOS ONE 8(11):e79995. Sagol Center, Shamir Medical Center, Israel.</w:t>
      </w:r>
    </w:p>
    <w:p>
      <w:pPr>
        <w:spacing w:after="80" w:before="80"/>
      </w:pPr>
      <w:r>
        <w:rPr>
          <w:rFonts w:ascii="Arial" w:cs="Arial" w:eastAsia="Arial" w:hAnsi="Arial"/>
          <w:sz w:val="22"/>
          <w:szCs w:val="22"/>
        </w:rPr>
        <w:t xml:space="preserve">56 patients with prolonged post-concussion syndrome (1 to 5 years post-injury) randomized to 60 HBOT sessions at 1.5 ATA versus crossover design. SPECT brain imaging showed reactivation of neuronal activity in stunned/dormant brain regions that appeared normal on standard MRI/CT — the so-called 'Neubauer Effect' of hibernating neurons that retain capacity for recovery when metabolic supply is restored. Neuropsychological testing demonstrated improvements in memory, attention, and executive function correlating with the imaging changes. This was foundational evidence that HBOT could produce brain repair years after the original injury.</w:t>
      </w:r>
    </w:p>
    <w:p>
      <w:pPr>
        <w:pStyle w:val="Heading2"/>
        <w:spacing w:after="80" w:before="240"/>
      </w:pPr>
      <w:r>
        <w:rPr>
          <w:rFonts w:ascii="Arial" w:cs="Arial" w:eastAsia="Arial" w:hAnsi="Arial"/>
          <w:b/>
          <w:bCs/>
          <w:color w:val="2E75B6"/>
          <w:sz w:val="26"/>
          <w:szCs w:val="26"/>
        </w:rPr>
        <w:t xml:space="preserve">GROUP B: U.S. Department of Defense Sponsored Trials — Veteran/Service Member TBI (2012–2019)</w:t>
      </w:r>
    </w:p>
    <w:p>
      <w:pPr>
        <w:spacing w:after="60" w:before="200"/>
      </w:pPr>
      <w:r>
        <w:rPr>
          <w:rFonts w:ascii="Arial" w:cs="Arial" w:eastAsia="Arial" w:hAnsi="Arial"/>
          <w:b/>
          <w:bCs/>
          <w:color w:val="404040"/>
          <w:sz w:val="24"/>
          <w:szCs w:val="24"/>
        </w:rPr>
        <w:t xml:space="preserve">6. Wolf EG et al. (2012) — J Neurotrauma | USAF School of Aerospace Medicine, Double-Blind RCT</w:t>
      </w:r>
    </w:p>
    <w:p>
      <w:pPr>
        <w:spacing w:after="60" w:before="60"/>
        <w:ind w:left="600"/>
      </w:pPr>
      <w:r>
        <w:rPr>
          <w:rFonts w:ascii="Arial" w:cs="Arial" w:eastAsia="Arial" w:hAnsi="Arial"/>
          <w:i/>
          <w:iCs/>
          <w:color w:val="555555"/>
          <w:sz w:val="19"/>
          <w:szCs w:val="19"/>
        </w:rPr>
        <w:t xml:space="preserve">NCT01016522. 50 military service members, TBI + persistent post-concussion symptoms, 30 sessions of 2.4 ATA HBOT vs. sham (room air at 1.3 ATA).</w:t>
      </w:r>
    </w:p>
    <w:p>
      <w:pPr>
        <w:spacing w:after="80" w:before="80"/>
      </w:pPr>
      <w:r>
        <w:rPr>
          <w:rFonts w:ascii="Arial" w:cs="Arial" w:eastAsia="Arial" w:hAnsi="Arial"/>
          <w:sz w:val="22"/>
          <w:szCs w:val="22"/>
        </w:rPr>
        <w:t xml:space="preserve">This first major DoD-sponsored sham-controlled RCT enrolled 50 service members with TBI and persistent post-concussion symptoms. Both the 2.4 ATA HBOT and the 1.3 ATA sham groups showed significant improvements in PCL-M PTSD scores and cognitive performance. This finding generated controversy: either low-pressure room air has therapeutic activity (undermining the concept of an inert sham), or spontaneous recovery accounts for both groups' improvement. Subsequent analysis by Harch argued that 1.3 ATA air is not biologically inert — pressure alone can stimulate stem cell mobilization — calling into question whether these 'sham' designs were truly placebo-controlled. No oxygen toxicity was observed.</w:t>
      </w:r>
    </w:p>
    <w:p>
      <w:pPr>
        <w:spacing w:after="60" w:before="200"/>
      </w:pPr>
      <w:r>
        <w:rPr>
          <w:rFonts w:ascii="Arial" w:cs="Arial" w:eastAsia="Arial" w:hAnsi="Arial"/>
          <w:b/>
          <w:bCs/>
          <w:color w:val="404040"/>
          <w:sz w:val="24"/>
          <w:szCs w:val="24"/>
        </w:rPr>
        <w:t xml:space="preserve">7. Cifu DX et al. (2014) — Ann Neurol | Double-Blind Controlled Study, Veterans with PCS</w:t>
      </w:r>
    </w:p>
    <w:p>
      <w:pPr>
        <w:spacing w:after="60" w:before="60"/>
        <w:ind w:left="600"/>
      </w:pPr>
      <w:r>
        <w:rPr>
          <w:rFonts w:ascii="Arial" w:cs="Arial" w:eastAsia="Arial" w:hAnsi="Arial"/>
          <w:i/>
          <w:iCs/>
          <w:color w:val="555555"/>
          <w:sz w:val="19"/>
          <w:szCs w:val="19"/>
        </w:rPr>
        <w:t xml:space="preserve">Hyperbaric oxygen for blast-related postconcussion syndrome: three-month outcomes. Ann Neurol 75:277-286.</w:t>
      </w:r>
    </w:p>
    <w:p>
      <w:pPr>
        <w:spacing w:after="80" w:before="80"/>
      </w:pPr>
      <w:r>
        <w:rPr>
          <w:rFonts w:ascii="Arial" w:cs="Arial" w:eastAsia="Arial" w:hAnsi="Arial"/>
          <w:sz w:val="22"/>
          <w:szCs w:val="22"/>
        </w:rPr>
        <w:t xml:space="preserve">61 veterans with post-concussion syndrome randomized to three treatment arms: 40 sessions at 2.0 ATA with 10%, 75%, or 100% oxygen. The different oxygen concentrations were intended to create a dose-response design and enable participant blinding. PCS (primary endpoint) did not improve significantly in any group. However, PCL-M PTSD scores decreased from 49.4 to 42.6 (P&lt;0.05) specifically in the 2.0 ATA/100% oxygen group, providing targeted evidence for HBOT's effect on PTSD symptoms when the full therapeutic dose was used. The study was later reappraised methodologically, with critics noting that the 10% and 75% arms likely provided partial oxygenation rather than true sham conditions.</w:t>
      </w:r>
    </w:p>
    <w:p>
      <w:pPr>
        <w:spacing w:after="60" w:before="200"/>
      </w:pPr>
      <w:r>
        <w:rPr>
          <w:rFonts w:ascii="Arial" w:cs="Arial" w:eastAsia="Arial" w:hAnsi="Arial"/>
          <w:b/>
          <w:bCs/>
          <w:color w:val="404040"/>
          <w:sz w:val="24"/>
          <w:szCs w:val="24"/>
        </w:rPr>
        <w:t xml:space="preserve">8. Miller RS et al. (2015) — JAMA Internal Medicine | Multicenter, Double-Blind, Sham-Controlled RCT (HOPPS)</w:t>
      </w:r>
    </w:p>
    <w:p>
      <w:pPr>
        <w:spacing w:after="60" w:before="60"/>
        <w:ind w:left="600"/>
      </w:pPr>
      <w:r>
        <w:rPr>
          <w:rFonts w:ascii="Arial" w:cs="Arial" w:eastAsia="Arial" w:hAnsi="Arial"/>
          <w:i/>
          <w:iCs/>
          <w:color w:val="555555"/>
          <w:sz w:val="19"/>
          <w:szCs w:val="19"/>
        </w:rPr>
        <w:t xml:space="preserve">Effects of hyperbaric oxygen on symptoms and quality of life among service members with persistent postconcussion symptoms: a randomized clinical trial. JAMA Int Med 175(1):43-52.</w:t>
      </w:r>
    </w:p>
    <w:p>
      <w:pPr>
        <w:spacing w:after="80" w:before="80"/>
      </w:pPr>
      <w:r>
        <w:rPr>
          <w:rFonts w:ascii="Arial" w:cs="Arial" w:eastAsia="Arial" w:hAnsi="Arial"/>
          <w:sz w:val="22"/>
          <w:szCs w:val="22"/>
        </w:rPr>
        <w:t xml:space="preserve">72 veterans and service members with persistent post-concussion syndrome (HOPPS trial) randomized to 40 sessions of 1.5 ATA HBOT or sham. The primary endpoint (post-concussion symptoms) did not significantly differ between groups. When combined with the Wolf findings, this contributed to early DoD skepticism about HBOT. However, secondary analyses noted PTSD subgroup improvements and the same methodological debate about sham validity. A 2015 reappraisal by Wolf and Cifu investigators suggested design limitations may have obscured true effects. JAMA published a companion commentary questioning interpretation.</w:t>
      </w:r>
    </w:p>
    <w:p>
      <w:pPr>
        <w:spacing w:after="60" w:before="200"/>
      </w:pPr>
      <w:r>
        <w:rPr>
          <w:rFonts w:ascii="Arial" w:cs="Arial" w:eastAsia="Arial" w:hAnsi="Arial"/>
          <w:b/>
          <w:bCs/>
          <w:color w:val="404040"/>
          <w:sz w:val="24"/>
          <w:szCs w:val="24"/>
        </w:rPr>
        <w:t xml:space="preserve">9. Weaver LK et al. (2018) — Undersea Hyperb Med | BIMA Study, U.S. Army, Largest DoD RCT</w:t>
      </w:r>
    </w:p>
    <w:p>
      <w:pPr>
        <w:spacing w:after="60" w:before="60"/>
        <w:ind w:left="600"/>
      </w:pPr>
      <w:r>
        <w:rPr>
          <w:rFonts w:ascii="Arial" w:cs="Arial" w:eastAsia="Arial" w:hAnsi="Arial"/>
          <w:i/>
          <w:iCs/>
          <w:color w:val="555555"/>
          <w:sz w:val="19"/>
          <w:szCs w:val="19"/>
        </w:rPr>
        <w:t xml:space="preserve">NCT01611194. Brain Injury and Mechanisms of Action of Hyperbaric Oxygen for Persistent Post-Concussive Symptoms after Mild TBI (BIMA). Undersea Hyperb Med 45(2):129-156.</w:t>
      </w:r>
    </w:p>
    <w:p>
      <w:pPr>
        <w:spacing w:after="80" w:before="80"/>
      </w:pPr>
      <w:r>
        <w:rPr>
          <w:rFonts w:ascii="Arial" w:cs="Arial" w:eastAsia="Arial" w:hAnsi="Arial"/>
          <w:sz w:val="22"/>
          <w:szCs w:val="22"/>
        </w:rPr>
        <w:t xml:space="preserve">The BIMA study was the most comprehensive DoD-sponsored trial to date: 71 active duty/veteran service members randomized to 40 sessions of HBOT at 1.5 ATA or sham (1.2 ATA air) with 80+ outcome measures spanning neuropsychology, neuroimaging, auditory, vestibular, visual, and autonomic systems. Key results: the HBOT group showed statistically significant improvement in post-concussive symptoms (NSI score: –3.6 vs +3.9 sham, P=0.03) at 13 weeks — the first DoD-sponsored trial to show clear between-group superiority. In the PTSD subgroup specifically, HBOT produced substantially greater improvement (–8.6 vs +4.8 sham, P=0.02). HBOT also improved cognitive processing speed and sleep quality. However, improvements regressed between 6 and 12 months, raising durability questions.</w:t>
      </w:r>
    </w:p>
    <w:p>
      <w:pPr>
        <w:spacing w:after="60" w:before="200"/>
      </w:pPr>
      <w:r>
        <w:rPr>
          <w:rFonts w:ascii="Arial" w:cs="Arial" w:eastAsia="Arial" w:hAnsi="Arial"/>
          <w:b/>
          <w:bCs/>
          <w:color w:val="404040"/>
          <w:sz w:val="24"/>
          <w:szCs w:val="24"/>
        </w:rPr>
        <w:t xml:space="preserve">10. Hart BB et al. (2019) — Undersea Hyperb Med | BIMA Extended Follow-Up (24 and 36 months)</w:t>
      </w:r>
    </w:p>
    <w:p>
      <w:pPr>
        <w:spacing w:after="60" w:before="60"/>
        <w:ind w:left="600"/>
      </w:pPr>
      <w:r>
        <w:rPr>
          <w:rFonts w:ascii="Arial" w:cs="Arial" w:eastAsia="Arial" w:hAnsi="Arial"/>
          <w:i/>
          <w:iCs/>
          <w:color w:val="555555"/>
          <w:sz w:val="19"/>
          <w:szCs w:val="19"/>
        </w:rPr>
        <w:t xml:space="preserve">Extended follow-up in a randomized trial of hyperbaric oxygen for persistent post-concussive symptoms. Undersea Hyperb Med 46(3):313-327.</w:t>
      </w:r>
    </w:p>
    <w:p>
      <w:pPr>
        <w:spacing w:after="80" w:before="80"/>
      </w:pPr>
      <w:r>
        <w:rPr>
          <w:rFonts w:ascii="Arial" w:cs="Arial" w:eastAsia="Arial" w:hAnsi="Arial"/>
          <w:sz w:val="22"/>
          <w:szCs w:val="22"/>
        </w:rPr>
        <w:t xml:space="preserve">Post-hoc long-term follow-up of 42 of 71 BIMA participants consented to extended data collection at 24 months (40 completed) and 36 months (14 completed). By 24 months, no significant between-group differences remained, with mean scores returning near pre-intervention values. This was interpreted as either waning treatment effect, insufficient session count (the trial used 40 sessions), or selection bias from the low 36-month response rate. Dr. Weaver noted the findings may indicate more than 40 sessions are needed for durable benefit.</w:t>
      </w:r>
    </w:p>
    <w:p>
      <w:pPr>
        <w:pStyle w:val="Heading2"/>
        <w:spacing w:after="80" w:before="240"/>
      </w:pPr>
      <w:r>
        <w:rPr>
          <w:rFonts w:ascii="Arial" w:cs="Arial" w:eastAsia="Arial" w:hAnsi="Arial"/>
          <w:b/>
          <w:bCs/>
          <w:color w:val="2E75B6"/>
          <w:sz w:val="26"/>
          <w:szCs w:val="26"/>
        </w:rPr>
        <w:t xml:space="preserve">GROUP C: Harch et al. — LSU/DoD Case Series and Case-Control Studies (2009–2020)</w:t>
      </w:r>
    </w:p>
    <w:p>
      <w:pPr>
        <w:spacing w:after="60" w:before="200"/>
      </w:pPr>
      <w:r>
        <w:rPr>
          <w:rFonts w:ascii="Arial" w:cs="Arial" w:eastAsia="Arial" w:hAnsi="Arial"/>
          <w:b/>
          <w:bCs/>
          <w:color w:val="404040"/>
          <w:sz w:val="24"/>
          <w:szCs w:val="24"/>
        </w:rPr>
        <w:t xml:space="preserve">11. Harch PG et al. (2009) — Cases Journal | Case Report: Blast TBI + PTSD, SPECT Imaging</w:t>
      </w:r>
    </w:p>
    <w:p>
      <w:pPr>
        <w:spacing w:after="60" w:before="60"/>
        <w:ind w:left="600"/>
      </w:pPr>
      <w:r>
        <w:rPr>
          <w:rFonts w:ascii="Arial" w:cs="Arial" w:eastAsia="Arial" w:hAnsi="Arial"/>
          <w:i/>
          <w:iCs/>
          <w:color w:val="555555"/>
          <w:sz w:val="19"/>
          <w:szCs w:val="19"/>
        </w:rPr>
        <w:t xml:space="preserve">Low pressure hyperbaric oxygen therapy and SPECT brain imaging in the treatment of blast-induced chronic TBI and PTSD: a case report. Cases J 2009;2:6538. PMC3012456.</w:t>
      </w:r>
    </w:p>
    <w:p>
      <w:pPr>
        <w:spacing w:after="80" w:before="80"/>
      </w:pPr>
      <w:r>
        <w:rPr>
          <w:rFonts w:ascii="Arial" w:cs="Arial" w:eastAsia="Arial" w:hAnsi="Arial"/>
          <w:sz w:val="22"/>
          <w:szCs w:val="22"/>
        </w:rPr>
        <w:t xml:space="preserve">First published case report documenting HBOT treatment of a 25-year-old combat veteran with blast-induced TBI and PTSD, 3 years post-injury. 39 HBOT sessions at 1.5 ATA. SPECT brain blood flow imaging before and after demonstrated significant improvements in regional cerebral blood flow. Psychiatric symptoms resolved completely. This was the foundational case report that launched the systematic study of HBOT for combat TBI/PTSD and introduced the use of SPECT as a neuroimaging tool for measuring HBOT's brain effects. Harch noted the neuropsychiatric improvements were unexpected given treatment was initiated for physical wound healing.</w:t>
      </w:r>
    </w:p>
    <w:p>
      <w:pPr>
        <w:spacing w:after="60" w:before="200"/>
      </w:pPr>
      <w:r>
        <w:rPr>
          <w:rFonts w:ascii="Arial" w:cs="Arial" w:eastAsia="Arial" w:hAnsi="Arial"/>
          <w:b/>
          <w:bCs/>
          <w:color w:val="404040"/>
          <w:sz w:val="24"/>
          <w:szCs w:val="24"/>
        </w:rPr>
        <w:t xml:space="preserve">12. Harch PG et al. (2012) — J Neurotrauma | Phase I Study, Blast TBI/PTSD, 16 Veterans</w:t>
      </w:r>
    </w:p>
    <w:p>
      <w:pPr>
        <w:spacing w:after="60" w:before="60"/>
        <w:ind w:left="600"/>
      </w:pPr>
      <w:r>
        <w:rPr>
          <w:rFonts w:ascii="Arial" w:cs="Arial" w:eastAsia="Arial" w:hAnsi="Arial"/>
          <w:i/>
          <w:iCs/>
          <w:color w:val="555555"/>
          <w:sz w:val="19"/>
          <w:szCs w:val="19"/>
        </w:rPr>
        <w:t xml:space="preserve">A Phase I study of low-pressure hyperbaric oxygen therapy for blast-induced post-concussion syndrome and post traumatic stress disorder. J Neurotrauma 29:168-185.</w:t>
      </w:r>
    </w:p>
    <w:p>
      <w:pPr>
        <w:spacing w:after="80" w:before="80"/>
      </w:pPr>
      <w:r>
        <w:rPr>
          <w:rFonts w:ascii="Arial" w:cs="Arial" w:eastAsia="Arial" w:hAnsi="Arial"/>
          <w:sz w:val="22"/>
          <w:szCs w:val="22"/>
        </w:rPr>
        <w:t xml:space="preserve">16 active-duty and retired veterans with blast-induced mild-moderate TBI (minimum 3 years post-injury) and comorbid PTSD received 40 HBOT sessions at 1.5 ATA over 30 days. Results were striking: significant improvements across all four outcome domains (clinical medicine, neuropsychology, psychology, and SPECT imaging). SPECT brain blood flow analysis using statistical parametric mapping identified significant increases in 85 brain regions, almost exclusively white matter and hippocampi — changes inconsistent with known placebo patterns (in placebo drug studies, at most 5 brain regions show change). Average cognitive gains were nearly 15 IQ points. PTSD symptoms improved significantly (PCL-M: 67.4 → 47.1, P&lt;0.001). Harch argued this SPECT pattern constituted proof of brain repair rather than placebo effect.</w:t>
      </w:r>
    </w:p>
    <w:p>
      <w:pPr>
        <w:spacing w:after="60" w:before="200"/>
      </w:pPr>
      <w:r>
        <w:rPr>
          <w:rFonts w:ascii="Arial" w:cs="Arial" w:eastAsia="Arial" w:hAnsi="Arial"/>
          <w:b/>
          <w:bCs/>
          <w:color w:val="404040"/>
          <w:sz w:val="24"/>
          <w:szCs w:val="24"/>
        </w:rPr>
        <w:t xml:space="preserve">13. Harch PG et al. (2017) — Medical Gas Research | Case-Control Study, 30 Veterans, SPECT</w:t>
      </w:r>
    </w:p>
    <w:p>
      <w:pPr>
        <w:spacing w:after="60" w:before="60"/>
        <w:ind w:left="600"/>
      </w:pPr>
      <w:r>
        <w:rPr>
          <w:rFonts w:ascii="Arial" w:cs="Arial" w:eastAsia="Arial" w:hAnsi="Arial"/>
          <w:i/>
          <w:iCs/>
          <w:color w:val="555555"/>
          <w:sz w:val="19"/>
          <w:szCs w:val="19"/>
        </w:rPr>
        <w:t xml:space="preserve">PMID 27581219. Case control study: hyperbaric oxygen treatment of mild TBI persistent post-concussion syndrome and post-traumatic stress disorder. Med Gas Res 7(3):156-174.</w:t>
      </w:r>
    </w:p>
    <w:p>
      <w:pPr>
        <w:spacing w:after="80" w:before="80"/>
      </w:pPr>
      <w:r>
        <w:rPr>
          <w:rFonts w:ascii="Arial" w:cs="Arial" w:eastAsia="Arial" w:hAnsi="Arial"/>
          <w:sz w:val="22"/>
          <w:szCs w:val="22"/>
        </w:rPr>
        <w:t xml:space="preserve">30 military subjects (18–65 years) with blast-induced mild-moderate TBI post-concussion syndrome, minimum 1 year post-9/11-injury, with or without PTSD. 27 of 30 met PCL-M threshold for PTSD. 40 HBOT sessions at 1.5 ATA. Imaging controls were matched SPECT normals. Results: SPECT blood flow became statistically indistinguishable from controls in 75% of previously abnormal brain regions. PCL-M scores dropped from 63.4 to 46.8 (P&lt;0.001), with further improvement at 6-month follow-up. 52% no longer met PTSD criteria. Most clinically significant finding: statistically significant reduction in suicidal ideation — what Harch described as 'possibly the most significant finding given the current veteran suicide epidemic.' Participants also reduced or discontinued psychoactive medications.</w:t>
      </w:r>
    </w:p>
    <w:p>
      <w:pPr>
        <w:spacing w:after="60" w:before="200"/>
      </w:pPr>
      <w:r>
        <w:rPr>
          <w:rFonts w:ascii="Arial" w:cs="Arial" w:eastAsia="Arial" w:hAnsi="Arial"/>
          <w:b/>
          <w:bCs/>
          <w:color w:val="404040"/>
          <w:sz w:val="24"/>
          <w:szCs w:val="24"/>
        </w:rPr>
        <w:t xml:space="preserve">14. Harch PG et al. (2020) — Medical Gas Research | RCT with Crossover, mTBI/PPCS</w:t>
      </w:r>
    </w:p>
    <w:p>
      <w:pPr>
        <w:spacing w:after="60" w:before="60"/>
        <w:ind w:left="600"/>
      </w:pPr>
      <w:r>
        <w:rPr>
          <w:rFonts w:ascii="Arial" w:cs="Arial" w:eastAsia="Arial" w:hAnsi="Arial"/>
          <w:i/>
          <w:iCs/>
          <w:color w:val="555555"/>
          <w:sz w:val="19"/>
          <w:szCs w:val="19"/>
        </w:rPr>
        <w:t xml:space="preserve">Hyperbaric oxygen therapy for mild traumatic brain injury persistent postconcussion syndrome: a randomized controlled trial. Med Gas Res 10(1):8-20.</w:t>
      </w:r>
    </w:p>
    <w:p>
      <w:pPr>
        <w:spacing w:after="80" w:before="80"/>
      </w:pPr>
      <w:r>
        <w:rPr>
          <w:rFonts w:ascii="Arial" w:cs="Arial" w:eastAsia="Arial" w:hAnsi="Arial"/>
          <w:sz w:val="22"/>
          <w:szCs w:val="22"/>
        </w:rPr>
        <w:t xml:space="preserve">Randomized crossover trial in which all subjects received HBOT (control group crossed over). Used 1.5 ATA protocol. Results showed significant symptomatic improvements. In the dosage systematic review by Andrews &amp; Harch (2024), this study's 1.5 ATA protocol was identified as having the highest effect size among all HBOT/PTSD studies, and was the study with the greatest pre-treatment PTSD burden (mean PCL-M 63.4) and the greatest absolute reduction (16.6 points). The crossover design meant all patients eventually received treatment, enhancing recruitment but complicating placebo isolation.</w:t>
      </w:r>
    </w:p>
    <w:p>
      <w:pPr>
        <w:pStyle w:val="Heading2"/>
        <w:spacing w:after="80" w:before="240"/>
      </w:pPr>
      <w:r>
        <w:rPr>
          <w:rFonts w:ascii="Arial" w:cs="Arial" w:eastAsia="Arial" w:hAnsi="Arial"/>
          <w:b/>
          <w:bCs/>
          <w:color w:val="2E75B6"/>
          <w:sz w:val="26"/>
          <w:szCs w:val="26"/>
        </w:rPr>
        <w:t xml:space="preserve">GROUP D: Sagol Center (Israel) — PTSD-Specific RCTs with Neuroimaging (2022–2024)</w:t>
      </w:r>
    </w:p>
    <w:p>
      <w:pPr>
        <w:spacing w:after="60" w:before="200"/>
      </w:pPr>
      <w:r>
        <w:rPr>
          <w:rFonts w:ascii="Arial" w:cs="Arial" w:eastAsia="Arial" w:hAnsi="Arial"/>
          <w:b/>
          <w:bCs/>
          <w:color w:val="404040"/>
          <w:sz w:val="24"/>
          <w:szCs w:val="24"/>
        </w:rPr>
        <w:t xml:space="preserve">15. Doenyas-Barak K et al. (2022) — Frontiers Psychiatry/PMC | First RCT for PTSD Without TBI</w:t>
      </w:r>
    </w:p>
    <w:p>
      <w:pPr>
        <w:spacing w:after="60" w:before="60"/>
        <w:ind w:left="600"/>
      </w:pPr>
      <w:r>
        <w:rPr>
          <w:rFonts w:ascii="Arial" w:cs="Arial" w:eastAsia="Arial" w:hAnsi="Arial"/>
          <w:i/>
          <w:iCs/>
          <w:color w:val="555555"/>
          <w:sz w:val="19"/>
          <w:szCs w:val="19"/>
        </w:rPr>
        <w:t xml:space="preserve">NCT03466554. Hyperbaric oxygen therapy improves symptoms, brain microstructure and functionality in veterans with treatment-resistant PTSD. PMC8863239.</w:t>
      </w:r>
    </w:p>
    <w:p>
      <w:pPr>
        <w:spacing w:after="80" w:before="80"/>
      </w:pPr>
      <w:r>
        <w:rPr>
          <w:rFonts w:ascii="Arial" w:cs="Arial" w:eastAsia="Arial" w:hAnsi="Arial"/>
          <w:sz w:val="22"/>
          <w:szCs w:val="22"/>
        </w:rPr>
        <w:t xml:space="preserve">The first prospective randomized controlled trial specifically isolating PTSD as the primary pathology, explicitly excluding TBI. 35 Israeli veterans with treatment-resistant combat PTSD (failed ≥1 line of both psychotherapy and pharmacotherapy) randomized 1:1 to 60 daily HBOT sessions (2.0 ATA, 100% O₂, 90 min) or control. Results in the HBOT group: CAPS-V score improved significantly (F=30.57, P&lt;0.0001, net effect size 1.64); BSI improved (effect size 0.89); BDI improved (effect size 1.03); no change in controls. fMRI demonstrated improved brain activity in left dorsolateral prefrontal cortex, middle temporal gyri, both thalami, left hippocampus, and left insula. DTI-MRI showed increased fractional anisotropy (FA) in fronto-limbic white matter, genu of the corpus callosum, and fornix. This was the first study to demonstrate HBOT's effects on both PTSD symptoms and brain microstructure as distinct from TBI healing.</w:t>
      </w:r>
    </w:p>
    <w:p>
      <w:pPr>
        <w:spacing w:after="60" w:before="200"/>
      </w:pPr>
      <w:r>
        <w:rPr>
          <w:rFonts w:ascii="Arial" w:cs="Arial" w:eastAsia="Arial" w:hAnsi="Arial"/>
          <w:b/>
          <w:bCs/>
          <w:color w:val="404040"/>
          <w:sz w:val="24"/>
          <w:szCs w:val="24"/>
        </w:rPr>
        <w:t xml:space="preserve">16. Doenyas-Barak K et al. (2024) — J Clin Psychiatry | Sham-Controlled RCT, Combat PTSD</w:t>
      </w:r>
    </w:p>
    <w:p>
      <w:pPr>
        <w:spacing w:after="60" w:before="60"/>
        <w:ind w:left="600"/>
      </w:pPr>
      <w:r>
        <w:rPr>
          <w:rFonts w:ascii="Arial" w:cs="Arial" w:eastAsia="Arial" w:hAnsi="Arial"/>
          <w:i/>
          <w:iCs/>
          <w:color w:val="555555"/>
          <w:sz w:val="19"/>
          <w:szCs w:val="19"/>
        </w:rPr>
        <w:t xml:space="preserve">NCT04518007. Hyperbaric oxygen therapy for veterans with combat-associated PTSD: a randomized, sham-controlled clinical trial. J Clin Psychiatry 2024;85(4):24m15464.</w:t>
      </w:r>
    </w:p>
    <w:p>
      <w:pPr>
        <w:spacing w:after="80" w:before="80"/>
      </w:pPr>
      <w:r>
        <w:rPr>
          <w:rFonts w:ascii="Arial" w:cs="Arial" w:eastAsia="Arial" w:hAnsi="Arial"/>
          <w:sz w:val="22"/>
          <w:szCs w:val="22"/>
        </w:rPr>
        <w:t xml:space="preserve">63 male veterans ages 25–60 with combat-associated PTSD (CAPS-5 &gt;20) and no TBI history randomized to 60 sessions of HBOT (100% O₂ at 2.0 ATA) or sham (21% O₂ at 1.02 ATA). 56 completed (28 per group). HBOT group: CAPS-5 score dropped from 42.57 to 25.8 (P&lt;0.001), sustained at follow-up. Sham group: CAPS-5 increased from 45.11 to 47.75. BDI-II and DASS-21 depression domain showed significant improvement in HBOT vs sham. rsfMRI showed significantly improved connectivity in all three major brain networks (default-mode, central-executive, salience). The sham protocol used 1.02 ATA with 21% O₂ — arguable the most methodologically rigorous sham yet deployed. The authors noted these results, combined with the 2022 RCT, may support clinical guideline recommendations.</w:t>
      </w:r>
    </w:p>
    <w:p>
      <w:pPr>
        <w:spacing w:after="60" w:before="200"/>
      </w:pPr>
      <w:r>
        <w:rPr>
          <w:rFonts w:ascii="Arial" w:cs="Arial" w:eastAsia="Arial" w:hAnsi="Arial"/>
          <w:b/>
          <w:bCs/>
          <w:color w:val="404040"/>
          <w:sz w:val="24"/>
          <w:szCs w:val="24"/>
        </w:rPr>
        <w:t xml:space="preserve">17. Tal S, Hadanny A et al. (2015–2017) — Sagol Center | TBI Angiogenesis Imaging Series</w:t>
      </w:r>
    </w:p>
    <w:p>
      <w:pPr>
        <w:spacing w:after="60" w:before="60"/>
        <w:ind w:left="600"/>
      </w:pPr>
      <w:r>
        <w:rPr>
          <w:rFonts w:ascii="Arial" w:cs="Arial" w:eastAsia="Arial" w:hAnsi="Arial"/>
          <w:i/>
          <w:iCs/>
          <w:color w:val="555555"/>
          <w:sz w:val="19"/>
          <w:szCs w:val="19"/>
        </w:rPr>
        <w:t xml:space="preserve">PMC5674654 / PMC5654341. Hyperbaric oxygen can induce angiogenesis and regeneration of nerve fibers in TBI patients. Front Hum Neurosci.</w:t>
      </w:r>
    </w:p>
    <w:p>
      <w:pPr>
        <w:spacing w:after="80" w:before="80"/>
      </w:pPr>
      <w:r>
        <w:rPr>
          <w:rFonts w:ascii="Arial" w:cs="Arial" w:eastAsia="Arial" w:hAnsi="Arial"/>
          <w:sz w:val="22"/>
          <w:szCs w:val="22"/>
        </w:rPr>
        <w:t xml:space="preserve">15 post-TBI patients with prolonged post-concussion syndrome (initiated 6 months to 27 years after injury) treated with 60 daily HBOT sessions. Perfusion MRI (DSC) showed significantly increased cerebral blood flow (CBF) and blood volume (CBV). DTI-MRI showed increased fractional anisotropy and decreased mean diffusivity in both white and gray matter — direct evidence of nerve fiber regeneration. Cognitive testing correlated significantly with structural changes: improvements in memory, executive function, and processing speed tracked with tissue repair on imaging. This series established the most mechanistically specific evidence that HBOT physically reconstructs brain tissue rather than merely altering function.</w:t>
      </w:r>
    </w:p>
    <w:p>
      <w:pPr>
        <w:pStyle w:val="Heading2"/>
        <w:spacing w:after="80" w:before="240"/>
      </w:pPr>
      <w:r>
        <w:rPr>
          <w:rFonts w:ascii="Arial" w:cs="Arial" w:eastAsia="Arial" w:hAnsi="Arial"/>
          <w:b/>
          <w:bCs/>
          <w:color w:val="2E75B6"/>
          <w:sz w:val="26"/>
          <w:szCs w:val="26"/>
        </w:rPr>
        <w:t xml:space="preserve">GROUP E: Systematic Reviews, Meta-Analyses, and Dosage Studies</w:t>
      </w:r>
    </w:p>
    <w:p>
      <w:pPr>
        <w:spacing w:after="60" w:before="200"/>
      </w:pPr>
      <w:r>
        <w:rPr>
          <w:rFonts w:ascii="Arial" w:cs="Arial" w:eastAsia="Arial" w:hAnsi="Arial"/>
          <w:b/>
          <w:bCs/>
          <w:color w:val="404040"/>
          <w:sz w:val="24"/>
          <w:szCs w:val="24"/>
        </w:rPr>
        <w:t xml:space="preserve">18. Andrews SR &amp; Harch PG (2024) — Frontiers Neurology | Systematic Review and Dosage Analysis: HBOT for PTSD</w:t>
      </w:r>
    </w:p>
    <w:p>
      <w:pPr>
        <w:spacing w:after="60" w:before="60"/>
        <w:ind w:left="600"/>
      </w:pPr>
      <w:r>
        <w:rPr>
          <w:rFonts w:ascii="Arial" w:cs="Arial" w:eastAsia="Arial" w:hAnsi="Arial"/>
          <w:i/>
          <w:iCs/>
          <w:color w:val="555555"/>
          <w:sz w:val="19"/>
          <w:szCs w:val="19"/>
        </w:rPr>
        <w:t xml:space="preserve">Systematic review and dosage analysis: hyperbaric oxygen therapy efficacy in the treatment of posttraumatic stress disorder. Front Neurol 15:1360311.</w:t>
      </w:r>
    </w:p>
    <w:p>
      <w:pPr>
        <w:spacing w:after="80" w:before="80"/>
      </w:pPr>
      <w:r>
        <w:rPr>
          <w:rFonts w:ascii="Arial" w:cs="Arial" w:eastAsia="Arial" w:hAnsi="Arial"/>
          <w:sz w:val="22"/>
          <w:szCs w:val="22"/>
        </w:rPr>
        <w:t xml:space="preserve">Comprehensive systematic review of all published HBOT studies with PTSD outcomes (PubMed/CINAHL/Cochrane, search through November 2023). 8 studies included, total 393 subjects; 7 randomized trials and 1 imaging case-control study. Six were military, one civilian/military, one civilian. Key finding: statistically significant PTSD improvements, including Reliable Change and Clinically Significant Change, were achieved across all studies using 40–60 sessions over a wide pressure range from 1.3 to 2.0 ATA. A linear dose-response relationship emerged: greater cumulative oxygen dose (1,002 to 11,400 atmosphere-minutes of oxygen) correlated with greater symptomatic improvement. Important safety note: 30–39% of subjects at the highest doses experienced transient, reversible worsening of emotional symptoms — a phenomenon also seen qualitatively with ibogaine, suggesting that meaningful neural re-processing may inherently involve temporary destabilization. Three of the 8 studies also included neuroimaging showing SPECT and DTI-MRI brain changes consistent with the symptomatic improvements.</w:t>
      </w:r>
    </w:p>
    <w:p>
      <w:pPr>
        <w:spacing w:after="60" w:before="200"/>
      </w:pPr>
      <w:r>
        <w:rPr>
          <w:rFonts w:ascii="Arial" w:cs="Arial" w:eastAsia="Arial" w:hAnsi="Arial"/>
          <w:b/>
          <w:bCs/>
          <w:color w:val="404040"/>
          <w:sz w:val="24"/>
          <w:szCs w:val="24"/>
        </w:rPr>
        <w:t xml:space="preserve">19. Hart BB et al. (2019 Special Edition) — Undersea Hyperb Med | Pooled Analysis: DoD HBOT Studies for mTBI + PTSD</w:t>
      </w:r>
    </w:p>
    <w:p>
      <w:pPr>
        <w:spacing w:after="60" w:before="60"/>
        <w:ind w:left="600"/>
      </w:pPr>
      <w:r>
        <w:rPr>
          <w:rFonts w:ascii="Arial" w:cs="Arial" w:eastAsia="Arial" w:hAnsi="Arial"/>
          <w:i/>
          <w:iCs/>
          <w:color w:val="555555"/>
          <w:sz w:val="19"/>
          <w:szCs w:val="19"/>
        </w:rPr>
        <w:t xml:space="preserve">Hyperbaric oxygen for mTBI-associated PCS and PTSD: pooled analysis of results from Department of Defense and other published studies.</w:t>
      </w:r>
    </w:p>
    <w:p>
      <w:pPr>
        <w:spacing w:after="80" w:before="80"/>
      </w:pPr>
      <w:r>
        <w:rPr>
          <w:rFonts w:ascii="Arial" w:cs="Arial" w:eastAsia="Arial" w:hAnsi="Arial"/>
          <w:sz w:val="22"/>
          <w:szCs w:val="22"/>
        </w:rPr>
        <w:t xml:space="preserve">Secondary pooled analysis of all DoD-sponsored HBOT trials (HOPPS, BIMA) combined with published civilian studies. Findings reinforced that HBOT consistently improves PTSD symptoms measured by PCL across the study population, with the effect most pronounced in the PTSD subgroup. Also developed composite outcome measures for future trials to capture the full spectrum of HBOT's effects more sensitively.</w:t>
      </w:r>
    </w:p>
    <w:p>
      <w:pPr>
        <w:spacing w:after="60" w:before="200"/>
      </w:pPr>
      <w:r>
        <w:rPr>
          <w:rFonts w:ascii="Arial" w:cs="Arial" w:eastAsia="Arial" w:hAnsi="Arial"/>
          <w:b/>
          <w:bCs/>
          <w:color w:val="404040"/>
          <w:sz w:val="24"/>
          <w:szCs w:val="24"/>
        </w:rPr>
        <w:t xml:space="preserve">20. Frontiers Neurology (2022) — Harch PG | Systematic Review: Dosage Analysis, mTBI PPCS</w:t>
      </w:r>
    </w:p>
    <w:p>
      <w:pPr>
        <w:spacing w:after="60" w:before="60"/>
        <w:ind w:left="600"/>
      </w:pPr>
      <w:r>
        <w:rPr>
          <w:rFonts w:ascii="Arial" w:cs="Arial" w:eastAsia="Arial" w:hAnsi="Arial"/>
          <w:i/>
          <w:iCs/>
          <w:color w:val="555555"/>
          <w:sz w:val="19"/>
          <w:szCs w:val="19"/>
        </w:rPr>
        <w:t xml:space="preserve">Systematic Review and Dosage Analysis: Hyperbaric Oxygen Therapy Efficacy in Mild TBI Persistent Postconcussion Syndrome. Front Neurol 2022, doi:10.3389/fneur.2022.815056.</w:t>
      </w:r>
    </w:p>
    <w:p>
      <w:pPr>
        <w:spacing w:after="80" w:before="80"/>
      </w:pPr>
      <w:r>
        <w:rPr>
          <w:rFonts w:ascii="Arial" w:cs="Arial" w:eastAsia="Arial" w:hAnsi="Arial"/>
          <w:sz w:val="22"/>
          <w:szCs w:val="22"/>
        </w:rPr>
        <w:t xml:space="preserve">Comprehensive dosage and efficacy analysis of the mTBI/PPCS evidence base, spanning 1992–2022. Reviewed level of evidence rankings and methodological quality using PEDro scoring and CEBM hierarchy. Key finding: the 1.5 ATA 100% oxygen protocol (used in all Harch studies) consistently showed the highest symptomatic effect sizes among all protocols tested. The review challenged whether Wolf (2012) and Cifu (2014) legitimately qualify as RCTs given that their 'sham' protocols used pressures now known to have biological activity. Argued for a 'dose-sensitive' view of HBOT in which low-pressure air controls are not truly inert.</w:t>
      </w:r>
    </w:p>
    <w:p>
      <w:pPr>
        <w:spacing w:after="60" w:before="200"/>
      </w:pPr>
      <w:r>
        <w:rPr>
          <w:rFonts w:ascii="Arial" w:cs="Arial" w:eastAsia="Arial" w:hAnsi="Arial"/>
          <w:b/>
          <w:bCs/>
          <w:color w:val="404040"/>
          <w:sz w:val="24"/>
          <w:szCs w:val="24"/>
        </w:rPr>
        <w:t xml:space="preserve">21. Frontiers Neurology (2023) — Harch | Hyperbaric Air Mobilizes Stem Cells</w:t>
      </w:r>
    </w:p>
    <w:p>
      <w:pPr>
        <w:spacing w:after="60" w:before="60"/>
        <w:ind w:left="600"/>
      </w:pPr>
      <w:r>
        <w:rPr>
          <w:rFonts w:ascii="Arial" w:cs="Arial" w:eastAsia="Arial" w:hAnsi="Arial"/>
          <w:i/>
          <w:iCs/>
          <w:color w:val="555555"/>
          <w:sz w:val="19"/>
          <w:szCs w:val="19"/>
        </w:rPr>
        <w:t xml:space="preserve">Hyperbaric air mobilizes stem cells in humans; a new perspective on the hormetic dose curve. Front Neurol 2023, doi:10.3389/fneur.2023.1192793.</w:t>
      </w:r>
    </w:p>
    <w:p>
      <w:pPr>
        <w:spacing w:after="80" w:before="80"/>
      </w:pPr>
      <w:r>
        <w:rPr>
          <w:rFonts w:ascii="Arial" w:cs="Arial" w:eastAsia="Arial" w:hAnsi="Arial"/>
          <w:sz w:val="22"/>
          <w:szCs w:val="22"/>
        </w:rPr>
        <w:t xml:space="preserve">Addresses a critical controversy in the HBOT literature: whether hyperbaric air (the 'sham' in many DoD trials) has biological activity. This study demonstrated that hyperbaric air alone mobilizes stem cells in humans — via a pressure-dependent mechanism separate from oxygen. This finding, if confirmed, fundamentally undermines the premise that air-at-pressure is an inert placebo, which would mean every major DoD 'null result' HBOT RCT was comparing an active treatment to another active treatment, and both groups improving is expected. This paper represents one of the most important methodological arguments in the HBOT/TBI research debate.</w:t>
      </w:r>
    </w:p>
    <w:p>
      <w:pPr>
        <w:spacing w:after="60" w:before="200"/>
      </w:pPr>
      <w:r>
        <w:rPr>
          <w:rFonts w:ascii="Arial" w:cs="Arial" w:eastAsia="Arial" w:hAnsi="Arial"/>
          <w:b/>
          <w:bCs/>
          <w:color w:val="404040"/>
          <w:sz w:val="24"/>
          <w:szCs w:val="24"/>
        </w:rPr>
        <w:t xml:space="preserve">22. Esmed.org (2023) — Clinical Guidelines Review: HBOT Efficacy in TBI</w:t>
      </w:r>
    </w:p>
    <w:p>
      <w:pPr>
        <w:spacing w:after="60" w:before="60"/>
        <w:ind w:left="600"/>
      </w:pPr>
      <w:r>
        <w:rPr>
          <w:rFonts w:ascii="Arial" w:cs="Arial" w:eastAsia="Arial" w:hAnsi="Arial"/>
          <w:i/>
          <w:iCs/>
          <w:color w:val="555555"/>
          <w:sz w:val="19"/>
          <w:szCs w:val="19"/>
        </w:rPr>
        <w:t xml:space="preserve">The Efficacy of Hyperbaric Oxygen Therapy in TBI Patients: Literature Review and Clinical Guidelines. Medical Research Archives 2023.</w:t>
      </w:r>
    </w:p>
    <w:p>
      <w:pPr>
        <w:spacing w:after="80" w:before="80"/>
      </w:pPr>
      <w:r>
        <w:rPr>
          <w:rFonts w:ascii="Arial" w:cs="Arial" w:eastAsia="Arial" w:hAnsi="Arial"/>
          <w:sz w:val="22"/>
          <w:szCs w:val="22"/>
        </w:rPr>
        <w:t xml:space="preserve">Comprehensive literature review and clinical guideline synthesis covering all major HBOT/TBI evidence from 1964 to 2023. Cataloged the full span from Fasano's 1964 therapeutic effect case series through the modern RCT era. Reviewed mechanisms (ICP reduction, angiogenesis, neuroplasticity, anti-inflammatory effects) and outcome data across civilian and military populations. Summarized FDA approval status and existing clinical guideline recommendations. Importantly, noted the disconnect between accumulating biological evidence of HBOT's effects on brain tissue and the VA/DoD's institutional resistance to guideline adoption — a gap that the USF Health $28M trial is designed to close.</w:t>
      </w:r>
    </w:p>
    <w:p>
      <w:pPr>
        <w:pStyle w:val="Heading2"/>
        <w:spacing w:after="80" w:before="240"/>
      </w:pPr>
      <w:r>
        <w:rPr>
          <w:rFonts w:ascii="Arial" w:cs="Arial" w:eastAsia="Arial" w:hAnsi="Arial"/>
          <w:b/>
          <w:bCs/>
          <w:color w:val="2E75B6"/>
          <w:sz w:val="26"/>
          <w:szCs w:val="26"/>
        </w:rPr>
        <w:t xml:space="preserve">GROUP F: Ongoing and Emerging Trials</w:t>
      </w:r>
    </w:p>
    <w:p>
      <w:pPr>
        <w:spacing w:after="60" w:before="200"/>
      </w:pPr>
      <w:r>
        <w:rPr>
          <w:rFonts w:ascii="Arial" w:cs="Arial" w:eastAsia="Arial" w:hAnsi="Arial"/>
          <w:b/>
          <w:bCs/>
          <w:color w:val="404040"/>
          <w:sz w:val="24"/>
          <w:szCs w:val="24"/>
        </w:rPr>
        <w:t xml:space="preserve">23. USF Health / van Loveren (NCT06581003, 2024–present) — $28M State-Funded Definitive RCT</w:t>
      </w:r>
    </w:p>
    <w:p>
      <w:pPr>
        <w:spacing w:after="80" w:before="80"/>
      </w:pPr>
      <w:r>
        <w:rPr>
          <w:rFonts w:ascii="Arial" w:cs="Arial" w:eastAsia="Arial" w:hAnsi="Arial"/>
          <w:sz w:val="22"/>
          <w:szCs w:val="22"/>
        </w:rPr>
        <w:t xml:space="preserve">Five-year randomized, double-blind, placebo-controlled trial enrolled 420+ veterans and service members with mild-to-moderate TBI. Each participant completes 40 treatments. Florida state-funded. This is explicitly designed as the gold-standard trial to either establish or refute HBOT's efficacy for veteran TBI/PTSD. Primary outcome: Neurobehavioral Symptom Inventory (NSI). Secondary: PTSD symptom reduction (PCL-5). If positive, likely to transform VA/DoD coverage standards.</w:t>
      </w:r>
    </w:p>
    <w:p>
      <w:pPr>
        <w:pStyle w:val="Heading1"/>
        <w:spacing w:after="120" w:before="360"/>
      </w:pPr>
      <w:r>
        <w:rPr>
          <w:rFonts w:ascii="Arial" w:cs="Arial" w:eastAsia="Arial" w:hAnsi="Arial"/>
          <w:b/>
          <w:bCs/>
          <w:color w:val="1F4E79"/>
          <w:sz w:val="32"/>
          <w:szCs w:val="32"/>
        </w:rPr>
        <w:t xml:space="preserve">PART II: IBOGAINE — CLINICAL TRIAL SUMMARY (REFERENCE)</w:t>
      </w:r>
    </w:p>
    <w:p>
      <w:pPr>
        <w:pBdr>
          <w:bottom w:val="single" w:color="2E75B6" w:sz="4" w:space="1"/>
        </w:pBdr>
        <w:spacing w:after="120" w:before="120"/>
      </w:pPr>
    </w:p>
    <w:p>
      <w:pPr>
        <w:spacing w:after="80" w:before="80"/>
      </w:pPr>
      <w:r>
        <w:rPr>
          <w:rFonts w:ascii="Arial" w:cs="Arial" w:eastAsia="Arial" w:hAnsi="Arial"/>
          <w:sz w:val="22"/>
          <w:szCs w:val="22"/>
        </w:rPr>
        <w:t xml:space="preserve">Six published studies (2020–2026). All observational/open-label, conducted in Mexico:</w:t>
      </w:r>
    </w:p>
    <w:p>
      <w:pPr>
        <w:pStyle w:val="ListParagraph"/>
        <w:numPr>
          <w:ilvl w:val="0"/>
          <w:numId w:val="2"/>
        </w:numPr>
        <w:spacing w:after="40" w:before="40"/>
      </w:pPr>
      <w:r>
        <w:rPr>
          <w:rFonts w:ascii="Arial" w:cs="Arial" w:eastAsia="Arial" w:hAnsi="Arial"/>
          <w:sz w:val="22"/>
          <w:szCs w:val="22"/>
        </w:rPr>
        <w:t xml:space="preserve">MISTIC Trial (Stanford/VETS Inc., NCT04313712, Nature Medicine 2024): 30 male Special Operations veterans. 88% PTSD reduction, 87% depression reduction, 81% disability reduction, 47%→7% suicidal ideation at 1 month.</w:t>
      </w:r>
    </w:p>
    <w:p>
      <w:pPr>
        <w:pStyle w:val="ListParagraph"/>
        <w:numPr>
          <w:ilvl w:val="0"/>
          <w:numId w:val="2"/>
        </w:numPr>
        <w:spacing w:after="40" w:before="40"/>
      </w:pPr>
      <w:r>
        <w:rPr>
          <w:rFonts w:ascii="Arial" w:cs="Arial" w:eastAsia="Arial" w:hAnsi="Arial"/>
          <w:sz w:val="22"/>
          <w:szCs w:val="22"/>
        </w:rPr>
        <w:t xml:space="preserve">MISTIC Neuroimaging Follow-Up (Stanford/VA Palo Alto, Nature Mental Health 2025): EEG/MRI — cortical oscillation changes, neural complexity improvements, large-scale brain network restoration; 71% no longer met PTSD criteria at 1 year.</w:t>
      </w:r>
    </w:p>
    <w:p>
      <w:pPr>
        <w:pStyle w:val="ListParagraph"/>
        <w:numPr>
          <w:ilvl w:val="0"/>
          <w:numId w:val="2"/>
        </w:numPr>
        <w:spacing w:after="40" w:before="40"/>
      </w:pPr>
      <w:r>
        <w:rPr>
          <w:rFonts w:ascii="Arial" w:cs="Arial" w:eastAsia="Arial" w:hAnsi="Arial"/>
          <w:sz w:val="22"/>
          <w:szCs w:val="22"/>
        </w:rPr>
        <w:t xml:space="preserve">MISTIC Qualitative Study (Stanford, npj Mental Health Research, February 2026): Constructivist grounded theory analysis of 30 veteran narratives; four domains: dialogic trauma re-appraisal, altered-self connectedness, emotional resolution, embodied healing (vivid sense of neural repair).</w:t>
      </w:r>
    </w:p>
    <w:p>
      <w:pPr>
        <w:pStyle w:val="ListParagraph"/>
        <w:numPr>
          <w:ilvl w:val="0"/>
          <w:numId w:val="2"/>
        </w:numPr>
        <w:spacing w:after="40" w:before="40"/>
      </w:pPr>
      <w:r>
        <w:rPr>
          <w:rFonts w:ascii="Arial" w:cs="Arial" w:eastAsia="Arial" w:hAnsi="Arial"/>
          <w:sz w:val="22"/>
          <w:szCs w:val="22"/>
        </w:rPr>
        <w:t xml:space="preserve">Retrospective Survey (Ohio State/Johns Hopkins, Davis et al., Chronic Stress, July 2020): 51 Special Operations veterans; ibogaine + 5-MeO-DMT; large reductions in PTSD, depression, cognitive impairment, suicidal ideation.</w:t>
      </w:r>
    </w:p>
    <w:p>
      <w:pPr>
        <w:pStyle w:val="ListParagraph"/>
        <w:numPr>
          <w:ilvl w:val="0"/>
          <w:numId w:val="2"/>
        </w:numPr>
        <w:spacing w:after="40" w:before="40"/>
      </w:pPr>
      <w:r>
        <w:rPr>
          <w:rFonts w:ascii="Arial" w:cs="Arial" w:eastAsia="Arial" w:hAnsi="Arial"/>
          <w:sz w:val="22"/>
          <w:szCs w:val="22"/>
        </w:rPr>
        <w:t xml:space="preserve">Prospective Open-Label Study (Ohio State/VETS Inc., AJDAA, May 2023): Same treatment program, prospective data at baseline, 1 month, 3 months; replicated retrospective findings with improvements in quality of life, spirituality, purpose.</w:t>
      </w:r>
    </w:p>
    <w:p>
      <w:pPr>
        <w:pStyle w:val="ListParagraph"/>
        <w:numPr>
          <w:ilvl w:val="0"/>
          <w:numId w:val="2"/>
        </w:numPr>
        <w:spacing w:after="40" w:before="40"/>
      </w:pPr>
      <w:r>
        <w:rPr>
          <w:rFonts w:ascii="Arial" w:cs="Arial" w:eastAsia="Arial" w:hAnsi="Arial"/>
          <w:sz w:val="22"/>
          <w:szCs w:val="22"/>
        </w:rPr>
        <w:t xml:space="preserve">Qualitative Grounded Theory (CEAFC, 2025): 12 veterans, 5 follow-up sessions, 10 months–3 year longitudinal data for 11 participants; all showed sustained positive outcomes with no harmful outcomes identified.</w:t>
      </w:r>
    </w:p>
    <w:p>
      <w:pPr>
        <w:pStyle w:val="Heading1"/>
        <w:spacing w:after="120" w:before="360"/>
      </w:pPr>
      <w:r>
        <w:rPr>
          <w:rFonts w:ascii="Arial" w:cs="Arial" w:eastAsia="Arial" w:hAnsi="Arial"/>
          <w:b/>
          <w:bCs/>
          <w:color w:val="1F4E79"/>
          <w:sz w:val="32"/>
          <w:szCs w:val="32"/>
        </w:rPr>
        <w:t xml:space="preserve">PART III: MECHANISMS OF ACTION — BRAIN WOUND HEALING EVIDENCE</w:t>
      </w:r>
    </w:p>
    <w:p>
      <w:pPr>
        <w:pBdr>
          <w:bottom w:val="single" w:color="2E75B6" w:sz="4" w:space="1"/>
        </w:pBdr>
        <w:spacing w:after="120" w:before="120"/>
      </w:pPr>
    </w:p>
    <w:p>
      <w:pPr>
        <w:pStyle w:val="Heading2"/>
        <w:spacing w:after="80" w:before="240"/>
      </w:pPr>
      <w:r>
        <w:rPr>
          <w:rFonts w:ascii="Arial" w:cs="Arial" w:eastAsia="Arial" w:hAnsi="Arial"/>
          <w:b/>
          <w:bCs/>
          <w:color w:val="2E75B6"/>
          <w:sz w:val="26"/>
          <w:szCs w:val="26"/>
        </w:rPr>
        <w:t xml:space="preserve">A. HBOT: Mechanisms of Brain Wound Healing</w:t>
      </w:r>
    </w:p>
    <w:p>
      <w:pPr>
        <w:spacing w:after="60" w:before="200"/>
      </w:pPr>
      <w:r>
        <w:rPr>
          <w:rFonts w:ascii="Arial" w:cs="Arial" w:eastAsia="Arial" w:hAnsi="Arial"/>
          <w:b/>
          <w:bCs/>
          <w:color w:val="404040"/>
          <w:sz w:val="24"/>
          <w:szCs w:val="24"/>
        </w:rPr>
        <w:t xml:space="preserve">1. The Hyperoxic-Hypoxic Paradox — Core Driver of Repair</w:t>
      </w:r>
    </w:p>
    <w:p>
      <w:pPr>
        <w:spacing w:after="80" w:before="80"/>
      </w:pPr>
      <w:r>
        <w:rPr>
          <w:rFonts w:ascii="Arial" w:cs="Arial" w:eastAsia="Arial" w:hAnsi="Arial"/>
          <w:sz w:val="22"/>
          <w:szCs w:val="22"/>
        </w:rPr>
        <w:t xml:space="preserve">HBOT works by oscillating oxygen levels between supraphysiological (during sessions, breathing 100% O₂ at 1.5–2.0 ATA) and normal atmospheric (between sessions). This oscillation — not steady-state hyperoxia — is the therapeutic mechanism. The return to 21% O₂ following each hyperbaric session acts as a hypoxic signal to cells, activating:</w:t>
      </w:r>
    </w:p>
    <w:p>
      <w:pPr>
        <w:pStyle w:val="ListParagraph"/>
        <w:numPr>
          <w:ilvl w:val="0"/>
          <w:numId w:val="2"/>
        </w:numPr>
        <w:spacing w:after="40" w:before="40"/>
      </w:pPr>
      <w:r>
        <w:rPr>
          <w:rFonts w:ascii="Arial" w:cs="Arial" w:eastAsia="Arial" w:hAnsi="Arial"/>
          <w:sz w:val="22"/>
          <w:szCs w:val="22"/>
        </w:rPr>
        <w:t xml:space="preserve">Hypoxia-Inducible Factor 1-alpha (HIF-1α): master regulator of angiogenesis and vascular remodeling</w:t>
      </w:r>
    </w:p>
    <w:p>
      <w:pPr>
        <w:pStyle w:val="ListParagraph"/>
        <w:numPr>
          <w:ilvl w:val="0"/>
          <w:numId w:val="2"/>
        </w:numPr>
        <w:spacing w:after="40" w:before="40"/>
      </w:pPr>
      <w:r>
        <w:rPr>
          <w:rFonts w:ascii="Arial" w:cs="Arial" w:eastAsia="Arial" w:hAnsi="Arial"/>
          <w:sz w:val="22"/>
          <w:szCs w:val="22"/>
        </w:rPr>
        <w:t xml:space="preserve">Nuclear Factor Erythroid 2 (Nrf-2): activated by hyperoxia, upregulating antioxidant and repair gene expression</w:t>
      </w:r>
    </w:p>
    <w:p>
      <w:pPr>
        <w:pStyle w:val="ListParagraph"/>
        <w:numPr>
          <w:ilvl w:val="0"/>
          <w:numId w:val="2"/>
        </w:numPr>
        <w:spacing w:after="40" w:before="40"/>
      </w:pPr>
      <w:r>
        <w:rPr>
          <w:rFonts w:ascii="Arial" w:cs="Arial" w:eastAsia="Arial" w:hAnsi="Arial"/>
          <w:sz w:val="22"/>
          <w:szCs w:val="22"/>
        </w:rPr>
        <w:t xml:space="preserve">Stem cell mobilization: bone marrow-derived stem cells trafficked to ischemic brain tissue</w:t>
      </w:r>
    </w:p>
    <w:p>
      <w:pPr>
        <w:spacing w:after="80" w:before="80"/>
      </w:pPr>
      <w:r>
        <w:rPr>
          <w:rFonts w:ascii="Arial" w:cs="Arial" w:eastAsia="Arial" w:hAnsi="Arial"/>
          <w:sz w:val="22"/>
          <w:szCs w:val="22"/>
        </w:rPr>
        <w:t xml:space="preserve">Injured brain tissue after TBI develops chronic hypoperfusion — poor blood supply due to microvascular damage — leaving neurons metabolically starved but alive ('hibernating neurons' or 'idling tissue'). The Neubauer Effect (first described 1990) proposed these neurons could be reactivated if their metabolic needs were met. HBOT supplies the oxygen debt that prevents repair. Critically, the biological effect of HBOT occurs post-treatment, not during it — the brain integrates the oxygen delivery into repair processes after the session ends.</w:t>
      </w:r>
    </w:p>
    <w:p>
      <w:pPr>
        <w:spacing w:after="60" w:before="200"/>
      </w:pPr>
      <w:r>
        <w:rPr>
          <w:rFonts w:ascii="Arial" w:cs="Arial" w:eastAsia="Arial" w:hAnsi="Arial"/>
          <w:b/>
          <w:bCs/>
          <w:color w:val="404040"/>
          <w:sz w:val="24"/>
          <w:szCs w:val="24"/>
        </w:rPr>
        <w:t xml:space="preserve">2. Cerebral Angiogenesis — Growing New Blood Vessels</w:t>
      </w:r>
    </w:p>
    <w:p>
      <w:pPr>
        <w:spacing w:after="80" w:before="80"/>
      </w:pPr>
      <w:r>
        <w:rPr>
          <w:rFonts w:ascii="Arial" w:cs="Arial" w:eastAsia="Arial" w:hAnsi="Arial"/>
          <w:sz w:val="22"/>
          <w:szCs w:val="22"/>
        </w:rPr>
        <w:t xml:space="preserve">Perfusion MRI (DSC) studies by Tal et al. demonstrated that 60 HBOT sessions induced measurable new blood vessel growth in chronic post-TBI brains, even in patients treated decades after the original injury. Increased cerebral blood flow (CBF) and blood volume (CBV) were documented, and these vascular changes correlated with cognitive improvements. The mechanism involves the ROS/HIF-1α/β-catenin pathway. Without adequate blood supply, repair cannot proceed regardless of neuroplastic potential — angiogenesis is the prerequisite for other mechanisms.</w:t>
      </w:r>
    </w:p>
    <w:p>
      <w:pPr>
        <w:spacing w:after="60" w:before="200"/>
      </w:pPr>
      <w:r>
        <w:rPr>
          <w:rFonts w:ascii="Arial" w:cs="Arial" w:eastAsia="Arial" w:hAnsi="Arial"/>
          <w:b/>
          <w:bCs/>
          <w:color w:val="404040"/>
          <w:sz w:val="24"/>
          <w:szCs w:val="24"/>
        </w:rPr>
        <w:t xml:space="preserve">3. White Matter Fiber Regeneration — Measurable on DTI-MRI</w:t>
      </w:r>
    </w:p>
    <w:p>
      <w:pPr>
        <w:spacing w:after="80" w:before="80"/>
      </w:pPr>
      <w:r>
        <w:rPr>
          <w:rFonts w:ascii="Arial" w:cs="Arial" w:eastAsia="Arial" w:hAnsi="Arial"/>
          <w:sz w:val="22"/>
          <w:szCs w:val="22"/>
        </w:rPr>
        <w:t xml:space="preserve">Diffusion Tensor Imaging (DTI) — which maps water diffusion along white matter axonal tracts — has consistently shown HBOT-induced increases in fractional anisotropy (FA) and decreases in mean diffusivity (MD) in both white and gray matter. These changes indicate real structural reorganization and fiber repair, not just functional compensation. Regions consistently showing improvement include fronto-limbic white matter, corpus callosum genu, and the fornix — all structures critical to emotional regulation and memory. The myelination of injured fibers and promotion of axonal growth are proposed subprocesses.</w:t>
      </w:r>
    </w:p>
    <w:p>
      <w:pPr>
        <w:spacing w:after="60" w:before="200"/>
      </w:pPr>
      <w:r>
        <w:rPr>
          <w:rFonts w:ascii="Arial" w:cs="Arial" w:eastAsia="Arial" w:hAnsi="Arial"/>
          <w:b/>
          <w:bCs/>
          <w:color w:val="404040"/>
          <w:sz w:val="24"/>
          <w:szCs w:val="24"/>
        </w:rPr>
        <w:t xml:space="preserve">4. Neurogenesis and Stem Cell Proliferation</w:t>
      </w:r>
    </w:p>
    <w:p>
      <w:pPr>
        <w:spacing w:after="80" w:before="80"/>
      </w:pPr>
      <w:r>
        <w:rPr>
          <w:rFonts w:ascii="Arial" w:cs="Arial" w:eastAsia="Arial" w:hAnsi="Arial"/>
          <w:sz w:val="22"/>
          <w:szCs w:val="22"/>
        </w:rPr>
        <w:t xml:space="preserve">HBOT stimulates proliferation of endogenous neural stem cells in neurogenic zones: the hippocampal dentate gyrus (spatial learning, memory consolidation) and the subventricular zone (SVZ). Stem cell markers — BrdU, doublecortin, nestin, Wnt-3 — are upregulated after HBOT. This represents the brain's own regenerative capacity being activated, not foreign material being introduced. Animal models of TBI showed improved spatial learning and memory alongside increased hippocampal vessel density.</w:t>
      </w:r>
    </w:p>
    <w:p>
      <w:pPr>
        <w:spacing w:after="60" w:before="200"/>
      </w:pPr>
      <w:r>
        <w:rPr>
          <w:rFonts w:ascii="Arial" w:cs="Arial" w:eastAsia="Arial" w:hAnsi="Arial"/>
          <w:b/>
          <w:bCs/>
          <w:color w:val="404040"/>
          <w:sz w:val="24"/>
          <w:szCs w:val="24"/>
        </w:rPr>
        <w:t xml:space="preserve">5. Mitochondrial Biogenesis — Restoring Cellular Energy</w:t>
      </w:r>
    </w:p>
    <w:p>
      <w:pPr>
        <w:spacing w:after="80" w:before="80"/>
      </w:pPr>
      <w:r>
        <w:rPr>
          <w:rFonts w:ascii="Arial" w:cs="Arial" w:eastAsia="Arial" w:hAnsi="Arial"/>
          <w:sz w:val="22"/>
          <w:szCs w:val="22"/>
        </w:rPr>
        <w:t xml:space="preserve">Post-TBI neurons survive in chronically low-energy states due to mitochondrial damage from the initial injury and ongoing oxidative stress. HBOT increases ATP production, increases Bcl-2 (anti-apoptotic), reduces Bax (pro-apoptotic), and improves mitochondrial Complex IV activity. Mitochondrial transfer from glial cells to neurons may also play a role. The net effect is neuronal metabolic rescue — cells that were 'dim' resume normal function when their power supply is restored.</w:t>
      </w:r>
    </w:p>
    <w:p>
      <w:pPr>
        <w:spacing w:after="60" w:before="200"/>
      </w:pPr>
      <w:r>
        <w:rPr>
          <w:rFonts w:ascii="Arial" w:cs="Arial" w:eastAsia="Arial" w:hAnsi="Arial"/>
          <w:b/>
          <w:bCs/>
          <w:color w:val="404040"/>
          <w:sz w:val="24"/>
          <w:szCs w:val="24"/>
        </w:rPr>
        <w:t xml:space="preserve">6. Anti-Inflammatory and Neuroprotective Effects</w:t>
      </w:r>
    </w:p>
    <w:p>
      <w:pPr>
        <w:spacing w:after="80" w:before="80"/>
      </w:pPr>
      <w:r>
        <w:rPr>
          <w:rFonts w:ascii="Arial" w:cs="Arial" w:eastAsia="Arial" w:hAnsi="Arial"/>
          <w:sz w:val="22"/>
          <w:szCs w:val="22"/>
        </w:rPr>
        <w:t xml:space="preserve">Chronic neuroinflammation after TBI is a major driver of ongoing damage, mediated by activated microglia (brain immune cells) and astrocytes. HBOT reduces TNF-α and IL-6 (pro-inflammatory cytokines), attenuates reactive microgliosis and astrogliosis, reduces brain edema, and helps restore blood-brain barrier integrity. For blast-related TBI specifically, neuroinflammation is diffuse and long-lasting, making anti-inflammatory effects particularly relevant.</w:t>
      </w:r>
    </w:p>
    <w:p>
      <w:pPr>
        <w:spacing w:after="60" w:before="200"/>
      </w:pPr>
      <w:r>
        <w:rPr>
          <w:rFonts w:ascii="Arial" w:cs="Arial" w:eastAsia="Arial" w:hAnsi="Arial"/>
          <w:b/>
          <w:bCs/>
          <w:color w:val="404040"/>
          <w:sz w:val="24"/>
          <w:szCs w:val="24"/>
        </w:rPr>
        <w:t xml:space="preserve">7. SPECT Brain Blood Flow Restoration — 'The Neubauer Effect'</w:t>
      </w:r>
    </w:p>
    <w:p>
      <w:pPr>
        <w:spacing w:after="80" w:before="80"/>
      </w:pPr>
      <w:r>
        <w:rPr>
          <w:rFonts w:ascii="Arial" w:cs="Arial" w:eastAsia="Arial" w:hAnsi="Arial"/>
          <w:sz w:val="22"/>
          <w:szCs w:val="22"/>
        </w:rPr>
        <w:t xml:space="preserve">SPECT imaging (single photon emission computed tomography) measures regional cerebral blood flow with functional resolution. The 'Neubauer Effect' — first observed clinically in the 1990s — involves a characteristic 'pattern shift' in brain blood flow after the first HBOT session that predicts subsequent improvements. In the Harch 2012 and 2017 studies, SPECT showed blood flow improvements in 85 brain regions after a full treatment course, almost exclusively in white matter — the primary injury site in mild TBI. These changes are inconsistent with known placebo SPECT patterns, which affect at most 5 brain regions. This provided the strongest imaging-based argument that HBOT effects represent genuine brain repair.</w:t>
      </w:r>
    </w:p>
    <w:p>
      <w:pPr>
        <w:spacing w:after="60" w:before="200"/>
      </w:pPr>
      <w:r>
        <w:rPr>
          <w:rFonts w:ascii="Arial" w:cs="Arial" w:eastAsia="Arial" w:hAnsi="Arial"/>
          <w:b/>
          <w:bCs/>
          <w:color w:val="404040"/>
          <w:sz w:val="24"/>
          <w:szCs w:val="24"/>
        </w:rPr>
        <w:t xml:space="preserve">8. Functional Network Restoration — rsfMRI Evidence</w:t>
      </w:r>
    </w:p>
    <w:p>
      <w:pPr>
        <w:spacing w:after="80" w:before="80"/>
      </w:pPr>
      <w:r>
        <w:rPr>
          <w:rFonts w:ascii="Arial" w:cs="Arial" w:eastAsia="Arial" w:hAnsi="Arial"/>
          <w:sz w:val="22"/>
          <w:szCs w:val="22"/>
        </w:rPr>
        <w:t xml:space="preserve">Resting-state fMRI studies show HBOT restores functional connectivity in the three major neural networks disrupted by both TBI and PTSD: the default mode network (self-referential cognition, introspection), the central executive network (working memory, decision-making), and the salience network (threat detection, emotional reactivity). PTSD is fundamentally a dysregulation of salience and fear networks; TBI disrupts the executive network. HBOT's ability to restore functional integration across all three networks may explain why it benefits both conditions simultaneously.</w:t>
      </w:r>
    </w:p>
    <w:p>
      <w:pPr>
        <w:pStyle w:val="Heading2"/>
        <w:spacing w:after="80" w:before="240"/>
      </w:pPr>
      <w:r>
        <w:rPr>
          <w:rFonts w:ascii="Arial" w:cs="Arial" w:eastAsia="Arial" w:hAnsi="Arial"/>
          <w:b/>
          <w:bCs/>
          <w:color w:val="2E75B6"/>
          <w:sz w:val="26"/>
          <w:szCs w:val="26"/>
        </w:rPr>
        <w:t xml:space="preserve">B. Ibogaine: Mechanisms of Brain Wound Healing</w:t>
      </w:r>
    </w:p>
    <w:p>
      <w:pPr>
        <w:spacing w:after="60" w:before="200"/>
      </w:pPr>
      <w:r>
        <w:rPr>
          <w:rFonts w:ascii="Arial" w:cs="Arial" w:eastAsia="Arial" w:hAnsi="Arial"/>
          <w:b/>
          <w:bCs/>
          <w:color w:val="404040"/>
          <w:sz w:val="24"/>
          <w:szCs w:val="24"/>
        </w:rPr>
        <w:t xml:space="preserve">1. Neurotrophic Factor Surge — BDNF, GDNF, and NGF</w:t>
      </w:r>
    </w:p>
    <w:p>
      <w:pPr>
        <w:spacing w:after="80" w:before="80"/>
      </w:pPr>
      <w:r>
        <w:rPr>
          <w:rFonts w:ascii="Arial" w:cs="Arial" w:eastAsia="Arial" w:hAnsi="Arial"/>
          <w:sz w:val="22"/>
          <w:szCs w:val="22"/>
        </w:rPr>
        <w:t xml:space="preserve">Ibogaine's primary molecular mechanism of brain repair is the simultaneous upregulation of three neurotrophic factors — proteins that govern the survival, growth, and maintenance of neurons:</w:t>
      </w:r>
    </w:p>
    <w:p>
      <w:pPr>
        <w:pStyle w:val="ListParagraph"/>
        <w:numPr>
          <w:ilvl w:val="0"/>
          <w:numId w:val="2"/>
        </w:numPr>
        <w:spacing w:after="40" w:before="40"/>
      </w:pPr>
      <w:r>
        <w:rPr>
          <w:rFonts w:ascii="Arial" w:cs="Arial" w:eastAsia="Arial" w:hAnsi="Arial"/>
          <w:sz w:val="22"/>
          <w:szCs w:val="22"/>
        </w:rPr>
        <w:t xml:space="preserve">BDNF (Brain-Derived Neurotrophic Factor): upregulated in nucleus accumbens, prefrontal cortex, substantia nigra, and VTA. Drives synaptic plasticity, memory consolidation, learning, and emotional regulation. Often described as 'fertilizer for the brain.' Reduced BDNF is a consistent finding in PTSD, depression, and TBI.</w:t>
      </w:r>
    </w:p>
    <w:p>
      <w:pPr>
        <w:pStyle w:val="ListParagraph"/>
        <w:numPr>
          <w:ilvl w:val="0"/>
          <w:numId w:val="2"/>
        </w:numPr>
        <w:spacing w:after="40" w:before="40"/>
      </w:pPr>
      <w:r>
        <w:rPr>
          <w:rFonts w:ascii="Arial" w:cs="Arial" w:eastAsia="Arial" w:hAnsi="Arial"/>
          <w:sz w:val="22"/>
          <w:szCs w:val="22"/>
        </w:rPr>
        <w:t xml:space="preserve">GDNF (Glial Cell-Derived Neurotrophic Factor): selectively elevated in the ventral tegmental area (VTA). Protects dopaminergic neurons and normalizes reward circuit signaling disrupted by chronic trauma and stress. Evidence suggests GDNF induction may create a self-sustaining autocrine loop, explaining effects that persist months after ibogaine has cleared from the body.</w:t>
      </w:r>
    </w:p>
    <w:p>
      <w:pPr>
        <w:pStyle w:val="ListParagraph"/>
        <w:numPr>
          <w:ilvl w:val="0"/>
          <w:numId w:val="2"/>
        </w:numPr>
        <w:spacing w:after="40" w:before="40"/>
      </w:pPr>
      <w:r>
        <w:rPr>
          <w:rFonts w:ascii="Arial" w:cs="Arial" w:eastAsia="Arial" w:hAnsi="Arial"/>
          <w:sz w:val="22"/>
          <w:szCs w:val="22"/>
        </w:rPr>
        <w:t xml:space="preserve">NGF (Nerve Growth Factor): upregulated broadly across dopaminergic regions and prefrontal cortex. Contributes to axonal maintenance, neuroprotection, and survival of cholinergic neurons involved in memory.</w:t>
      </w:r>
    </w:p>
    <w:p>
      <w:pPr>
        <w:spacing w:after="80" w:before="80"/>
      </w:pPr>
      <w:r>
        <w:rPr>
          <w:rFonts w:ascii="Arial" w:cs="Arial" w:eastAsia="Arial" w:hAnsi="Arial"/>
          <w:sz w:val="22"/>
          <w:szCs w:val="22"/>
        </w:rPr>
        <w:t xml:space="preserve">Importantly, non-hallucinogenic ibogaine analogs do not trigger this neurotrophic factor cascade — suggesting the pharmacological complexity of ibogaine's interaction with multiple receptor systems is integral to its therapeutic mechanism, not separable from its psychedelic properties.</w:t>
      </w:r>
    </w:p>
    <w:p>
      <w:pPr>
        <w:spacing w:after="60" w:before="200"/>
      </w:pPr>
      <w:r>
        <w:rPr>
          <w:rFonts w:ascii="Arial" w:cs="Arial" w:eastAsia="Arial" w:hAnsi="Arial"/>
          <w:b/>
          <w:bCs/>
          <w:color w:val="404040"/>
          <w:sz w:val="24"/>
          <w:szCs w:val="24"/>
        </w:rPr>
        <w:t xml:space="preserve">2. Psychoplastogenesis — Rapid Neural Rewiring</w:t>
      </w:r>
    </w:p>
    <w:p>
      <w:pPr>
        <w:spacing w:after="80" w:before="80"/>
      </w:pPr>
      <w:r>
        <w:rPr>
          <w:rFonts w:ascii="Arial" w:cs="Arial" w:eastAsia="Arial" w:hAnsi="Arial"/>
          <w:sz w:val="22"/>
          <w:szCs w:val="22"/>
        </w:rPr>
        <w:t xml:space="preserve">Ibogaine's primary metabolite, noribogaine (formed hepatically after ingestion), has been formally classified as a 'psychoplastogen' — a compound that rapidly promotes structural neural plasticity, including neurogenesis and neuritogenesis (growth of neuronal processes), in cortical neurons. This creates a time-limited but dramatically enhanced window for neural reorganization that does not occur through normal learning or therapy. During and after the ibogaine experience, the brain's default circuit patterns are transiently destabilized, creating an opportunity for maladaptive networks — chronic fear circuits, hypervigilance patterns, trauma-driven behavioral habits — to be reorganized rather than simply suppressed.</w:t>
      </w:r>
    </w:p>
    <w:p>
      <w:pPr>
        <w:spacing w:after="60" w:before="200"/>
      </w:pPr>
      <w:r>
        <w:rPr>
          <w:rFonts w:ascii="Arial" w:cs="Arial" w:eastAsia="Arial" w:hAnsi="Arial"/>
          <w:b/>
          <w:bCs/>
          <w:color w:val="404040"/>
          <w:sz w:val="24"/>
          <w:szCs w:val="24"/>
        </w:rPr>
        <w:t xml:space="preserve">3. Multi-Receptor Neurochemical Reset</w:t>
      </w:r>
    </w:p>
    <w:p>
      <w:pPr>
        <w:spacing w:after="80" w:before="80"/>
      </w:pPr>
      <w:r>
        <w:rPr>
          <w:rFonts w:ascii="Arial" w:cs="Arial" w:eastAsia="Arial" w:hAnsi="Arial"/>
          <w:sz w:val="22"/>
          <w:szCs w:val="22"/>
        </w:rPr>
        <w:t xml:space="preserve">Ibogaine is unique among known psychoactive compounds in its simultaneous engagement of multiple neurotransmitter systems — creating what researchers describe as a 'neurochemical reset' rather than targeted modulation of a single pathway:</w:t>
      </w:r>
    </w:p>
    <w:p>
      <w:pPr>
        <w:pStyle w:val="ListParagraph"/>
        <w:numPr>
          <w:ilvl w:val="0"/>
          <w:numId w:val="2"/>
        </w:numPr>
        <w:spacing w:after="40" w:before="40"/>
      </w:pPr>
      <w:r>
        <w:rPr>
          <w:rFonts w:ascii="Arial" w:cs="Arial" w:eastAsia="Arial" w:hAnsi="Arial"/>
          <w:sz w:val="22"/>
          <w:szCs w:val="22"/>
        </w:rPr>
        <w:t xml:space="preserve">NMDA glutamate receptors: influences synaptic plasticity and memory reconsolidation (the same mechanism ketamine exploits for treatment-resistant depression)</w:t>
      </w:r>
    </w:p>
    <w:p>
      <w:pPr>
        <w:pStyle w:val="ListParagraph"/>
        <w:numPr>
          <w:ilvl w:val="0"/>
          <w:numId w:val="2"/>
        </w:numPr>
        <w:spacing w:after="40" w:before="40"/>
      </w:pPr>
      <w:r>
        <w:rPr>
          <w:rFonts w:ascii="Arial" w:cs="Arial" w:eastAsia="Arial" w:hAnsi="Arial"/>
          <w:sz w:val="22"/>
          <w:szCs w:val="22"/>
        </w:rPr>
        <w:t xml:space="preserve">Sigma-2 receptors: involved in neuroplasticity and cellular stress resilience</w:t>
      </w:r>
    </w:p>
    <w:p>
      <w:pPr>
        <w:pStyle w:val="ListParagraph"/>
        <w:numPr>
          <w:ilvl w:val="0"/>
          <w:numId w:val="2"/>
        </w:numPr>
        <w:spacing w:after="40" w:before="40"/>
      </w:pPr>
      <w:r>
        <w:rPr>
          <w:rFonts w:ascii="Arial" w:cs="Arial" w:eastAsia="Arial" w:hAnsi="Arial"/>
          <w:sz w:val="22"/>
          <w:szCs w:val="22"/>
        </w:rPr>
        <w:t xml:space="preserve">Kappa-opioid receptors: regulates stress response, mood, and pain processing</w:t>
      </w:r>
    </w:p>
    <w:p>
      <w:pPr>
        <w:pStyle w:val="ListParagraph"/>
        <w:numPr>
          <w:ilvl w:val="0"/>
          <w:numId w:val="2"/>
        </w:numPr>
        <w:spacing w:after="40" w:before="40"/>
      </w:pPr>
      <w:r>
        <w:rPr>
          <w:rFonts w:ascii="Arial" w:cs="Arial" w:eastAsia="Arial" w:hAnsi="Arial"/>
          <w:sz w:val="22"/>
          <w:szCs w:val="22"/>
        </w:rPr>
        <w:t xml:space="preserve">Serotonin transporter (SERT) inhibition: transiently elevates serotonin, modulating mood and fear circuitry</w:t>
      </w:r>
    </w:p>
    <w:p>
      <w:pPr>
        <w:pStyle w:val="ListParagraph"/>
        <w:numPr>
          <w:ilvl w:val="0"/>
          <w:numId w:val="2"/>
        </w:numPr>
        <w:spacing w:after="40" w:before="40"/>
      </w:pPr>
      <w:r>
        <w:rPr>
          <w:rFonts w:ascii="Arial" w:cs="Arial" w:eastAsia="Arial" w:hAnsi="Arial"/>
          <w:sz w:val="22"/>
          <w:szCs w:val="22"/>
        </w:rPr>
        <w:t xml:space="preserve">Vesicular monoamine transporter 2 (VMAT2) inhibition: redistributes dopamine, serotonin, and norepinephrine stores simultaneously — the most pharmacologically unusual feature of ibogaine not replicated by any other compound</w:t>
      </w:r>
    </w:p>
    <w:p>
      <w:pPr>
        <w:spacing w:after="80" w:before="80"/>
      </w:pPr>
      <w:r>
        <w:rPr>
          <w:rFonts w:ascii="Arial" w:cs="Arial" w:eastAsia="Arial" w:hAnsi="Arial"/>
          <w:sz w:val="22"/>
          <w:szCs w:val="22"/>
        </w:rPr>
        <w:t xml:space="preserve">The combination of these effects transiently disrupts the pathological circuit patterns established by chronic trauma — the locked-in fear responses, reward dysregulation, and hypervigilance that characterize both PTSD and blast TBI — allowing re-patterning during the subsequent neuroplasticity window.</w:t>
      </w:r>
    </w:p>
    <w:p>
      <w:pPr>
        <w:spacing w:after="60" w:before="200"/>
      </w:pPr>
      <w:r>
        <w:rPr>
          <w:rFonts w:ascii="Arial" w:cs="Arial" w:eastAsia="Arial" w:hAnsi="Arial"/>
          <w:b/>
          <w:bCs/>
          <w:color w:val="404040"/>
          <w:sz w:val="24"/>
          <w:szCs w:val="24"/>
        </w:rPr>
        <w:t xml:space="preserve">4. Cortical and Subcortical Structural Changes — MRI Evidence</w:t>
      </w:r>
    </w:p>
    <w:p>
      <w:pPr>
        <w:spacing w:after="80" w:before="80"/>
      </w:pPr>
      <w:r>
        <w:rPr>
          <w:rFonts w:ascii="Arial" w:cs="Arial" w:eastAsia="Arial" w:hAnsi="Arial"/>
          <w:sz w:val="22"/>
          <w:szCs w:val="22"/>
        </w:rPr>
        <w:t xml:space="preserve">EEG and MRI from the MISTIC neuroimaging follow-up (Nature Mental Health 2025) demonstrated sustained changes in cortical oscillations, neural complexity, and large-scale brain network connectivity. Case studies in other conditions have shown cortical thickening in prefrontal, temporal, and emotional regulation cortices, alongside reduced apparent diffusion coefficient (ADC) values in the hippocampus and amygdala — suggesting improved tissue density and integrity. Cortical thinning observed in some motor regions likely reflects adaptive synaptic pruning of maladaptive pathways, an active reorganization process rather than atrophy. The pattern varies individually, consistent with personalized neuroplasticity responses.</w:t>
      </w:r>
    </w:p>
    <w:p>
      <w:pPr>
        <w:spacing w:after="60" w:before="200"/>
      </w:pPr>
      <w:r>
        <w:rPr>
          <w:rFonts w:ascii="Arial" w:cs="Arial" w:eastAsia="Arial" w:hAnsi="Arial"/>
          <w:b/>
          <w:bCs/>
          <w:color w:val="404040"/>
          <w:sz w:val="24"/>
          <w:szCs w:val="24"/>
        </w:rPr>
        <w:t xml:space="preserve">5. Traumatic Memory Reconsolidation — The Psychological Wound</w:t>
      </w:r>
    </w:p>
    <w:p>
      <w:pPr>
        <w:spacing w:after="80" w:before="80"/>
      </w:pPr>
      <w:r>
        <w:rPr>
          <w:rFonts w:ascii="Arial" w:cs="Arial" w:eastAsia="Arial" w:hAnsi="Arial"/>
          <w:sz w:val="22"/>
          <w:szCs w:val="22"/>
        </w:rPr>
        <w:t xml:space="preserve">For TBI/PTSD specifically, ibogaine's 18–36 hour oneirogenic ('waking dream') experience uniquely provides a mechanism for active emotional processing of traumatic memories. Veterans in the MISTIC qualitative study described 'dialogic trauma re-appraisal' — watching their traumatic memories replay with unusual cognitive distance and emotional clarity, followed by resolution. Neuroscientifically, this likely involves NMDA-mediated memory reconsolidation: traumatic memories are retrieved (made labile), reprocessed in a non-threat context facilitated by ibogaine's dissociative properties, and re-stored with reduced fear loading. This is a process that standard trauma therapy attempts to achieve over months; ibogaine appears to facilitate an accelerated version in a single extended session. The key distinction from HBOT: ibogaine doesn't just repair the brain tissue that holds the fear memory — it also actively rewrites the memory's emotional valence.</w:t>
      </w:r>
    </w:p>
    <w:p>
      <w:pPr>
        <w:spacing w:after="60" w:before="200"/>
      </w:pPr>
      <w:r>
        <w:rPr>
          <w:rFonts w:ascii="Arial" w:cs="Arial" w:eastAsia="Arial" w:hAnsi="Arial"/>
          <w:b/>
          <w:bCs/>
          <w:color w:val="404040"/>
          <w:sz w:val="24"/>
          <w:szCs w:val="24"/>
        </w:rPr>
        <w:t xml:space="preserve">6. Large-Scale Brain Network Reorganization</w:t>
      </w:r>
    </w:p>
    <w:p>
      <w:pPr>
        <w:spacing w:after="80" w:before="80"/>
      </w:pPr>
      <w:r>
        <w:rPr>
          <w:rFonts w:ascii="Arial" w:cs="Arial" w:eastAsia="Arial" w:hAnsi="Arial"/>
          <w:sz w:val="22"/>
          <w:szCs w:val="22"/>
        </w:rPr>
        <w:t xml:space="preserve">The MISTIC neuroimaging study documented that single ibogaine treatment produced large, sustained improvements in PTSD, anxiety, and executive function associated with changes in large-scale brain function — including effects on cortical oscillations and neural complexity. This systems-level reorganization mirrors what HBOT achieves through vascular and structural repair, but via a different pathway: ibogaine reorganizes the functional relationships between brain regions, while HBOT restores the physical infrastructure those regions depend on. The convergence on the same functional outcome (restored network integration) via different entry points is the strongest mechanistic argument for the two treatments' complementarity.</w:t>
      </w:r>
    </w:p>
    <w:p>
      <w:pPr>
        <w:pStyle w:val="Heading1"/>
        <w:spacing w:after="120" w:before="360"/>
      </w:pPr>
      <w:r>
        <w:rPr>
          <w:rFonts w:ascii="Arial" w:cs="Arial" w:eastAsia="Arial" w:hAnsi="Arial"/>
          <w:b/>
          <w:bCs/>
          <w:color w:val="1F4E79"/>
          <w:sz w:val="32"/>
          <w:szCs w:val="32"/>
        </w:rPr>
        <w:t xml:space="preserve">PART IV: SIDE-BY-SIDE COMPARISON</w:t>
      </w:r>
    </w:p>
    <w:p>
      <w:pPr>
        <w:pBdr>
          <w:bottom w:val="single" w:color="2E75B6" w:sz="4" w:space="1"/>
        </w:pBdr>
        <w:spacing w:after="120" w:before="120"/>
      </w:pPr>
    </w:p>
    <w:p>
      <w:pPr>
        <w:spacing w:after="12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80"/>
        <w:gridCol w:w="3380"/>
      </w:tblGrid>
      <w:tr>
        <w:trPr>
          <w:tblHeader/>
        </w:trPr>
        <w:tc>
          <w:tcPr>
            <w:tcW w:type="dxa" w:w="2600"/>
            <w:tcBorders>
              <w:top w:val="single" w:color="1F4E79" w:sz="1"/>
              <w:left w:val="single" w:color="1F4E79" w:sz="1"/>
              <w:bottom w:val="single" w:color="1F4E79" w:sz="1"/>
              <w:right w:val="single" w:color="1F4E79" w:sz="1"/>
            </w:tcBorders>
            <w:shd w:fill="1F4E79" w:val="clear"/>
            <w:tcMar>
              <w:top w:type="dxa" w:w="100"/>
              <w:left w:type="dxa" w:w="120"/>
              <w:bottom w:type="dxa" w:w="100"/>
              <w:right w:type="dxa" w:w="120"/>
            </w:tcMar>
          </w:tcPr>
          <w:p>
            <w:r>
              <w:rPr>
                <w:rFonts w:ascii="Arial" w:cs="Arial" w:eastAsia="Arial" w:hAnsi="Arial"/>
                <w:b/>
                <w:bCs/>
                <w:color w:val="FFFFFF"/>
                <w:sz w:val="20"/>
                <w:szCs w:val="20"/>
              </w:rPr>
              <w:t xml:space="preserve">Category</w:t>
            </w:r>
          </w:p>
        </w:tc>
        <w:tc>
          <w:tcPr>
            <w:tcW w:type="dxa" w:w="3380"/>
            <w:tcBorders>
              <w:top w:val="single" w:color="1F4E79" w:sz="1"/>
              <w:left w:val="single" w:color="1F4E79" w:sz="1"/>
              <w:bottom w:val="single" w:color="1F4E79" w:sz="1"/>
              <w:right w:val="single" w:color="1F4E79" w:sz="1"/>
            </w:tcBorders>
            <w:shd w:fill="1F4E79" w:val="clear"/>
            <w:tcMar>
              <w:top w:type="dxa" w:w="100"/>
              <w:left w:type="dxa" w:w="120"/>
              <w:bottom w:type="dxa" w:w="100"/>
              <w:right w:type="dxa" w:w="120"/>
            </w:tcMar>
          </w:tcPr>
          <w:p>
            <w:r>
              <w:rPr>
                <w:rFonts w:ascii="Arial" w:cs="Arial" w:eastAsia="Arial" w:hAnsi="Arial"/>
                <w:b/>
                <w:bCs/>
                <w:color w:val="FFFFFF"/>
                <w:sz w:val="20"/>
                <w:szCs w:val="20"/>
              </w:rPr>
              <w:t xml:space="preserve">Ibogaine</w:t>
            </w:r>
          </w:p>
        </w:tc>
        <w:tc>
          <w:tcPr>
            <w:tcW w:type="dxa" w:w="3380"/>
            <w:tcBorders>
              <w:top w:val="single" w:color="1F4E79" w:sz="1"/>
              <w:left w:val="single" w:color="1F4E79" w:sz="1"/>
              <w:bottom w:val="single" w:color="1F4E79" w:sz="1"/>
              <w:right w:val="single" w:color="1F4E79" w:sz="1"/>
            </w:tcBorders>
            <w:shd w:fill="1F4E79" w:val="clear"/>
            <w:tcMar>
              <w:top w:type="dxa" w:w="100"/>
              <w:left w:type="dxa" w:w="120"/>
              <w:bottom w:type="dxa" w:w="100"/>
              <w:right w:type="dxa" w:w="120"/>
            </w:tcMar>
          </w:tcPr>
          <w:p>
            <w:r>
              <w:rPr>
                <w:rFonts w:ascii="Arial" w:cs="Arial" w:eastAsia="Arial" w:hAnsi="Arial"/>
                <w:b/>
                <w:bCs/>
                <w:color w:val="FFFFFF"/>
                <w:sz w:val="20"/>
                <w:szCs w:val="20"/>
              </w:rPr>
              <w:t xml:space="preserve">Hyperbaric Oxygen Therapy (HBOT)</w:t>
            </w:r>
          </w:p>
        </w:tc>
      </w:tr>
      <w:tr>
        <w:tc>
          <w:tcPr>
            <w:tcW w:type="dxa" w:w="2600"/>
            <w:tcBorders>
              <w:top w:val="single" w:color="CCCCCC" w:sz="1"/>
              <w:left w:val="single" w:color="CCCCCC" w:sz="1"/>
              <w:bottom w:val="single" w:color="CCCCCC" w:sz="1"/>
              <w:right w:val="single" w:color="CCCCCC" w:sz="1"/>
            </w:tcBorders>
            <w:shd w:fill="F0F5FF" w:val="clear"/>
            <w:tcMar>
              <w:top w:type="dxa" w:w="80"/>
              <w:left w:type="dxa" w:w="120"/>
              <w:bottom w:type="dxa" w:w="80"/>
              <w:right w:type="dxa" w:w="120"/>
            </w:tcMar>
          </w:tcPr>
          <w:p>
            <w:r>
              <w:rPr>
                <w:rFonts w:ascii="Arial" w:cs="Arial" w:eastAsia="Arial" w:hAnsi="Arial"/>
                <w:b/>
                <w:bCs/>
                <w:color w:val="2E75B6"/>
                <w:sz w:val="20"/>
                <w:szCs w:val="20"/>
              </w:rPr>
              <w:t xml:space="preserve">Primary Mechanism</w:t>
            </w:r>
          </w:p>
        </w:tc>
        <w:tc>
          <w:tcPr>
            <w:tcW w:type="dxa" w:w="3380"/>
            <w:tcBorders>
              <w:top w:val="single" w:color="CCCCCC" w:sz="1"/>
              <w:left w:val="single" w:color="CCCCCC" w:sz="1"/>
              <w:bottom w:val="single" w:color="CCCCCC" w:sz="1"/>
              <w:right w:val="single" w:color="CCCCCC" w:sz="1"/>
            </w:tcBorders>
            <w:shd w:fill="F0F5FF" w:val="clear"/>
            <w:tcMar>
              <w:top w:type="dxa" w:w="80"/>
              <w:left w:type="dxa" w:w="120"/>
              <w:bottom w:type="dxa" w:w="80"/>
              <w:right w:type="dxa" w:w="120"/>
            </w:tcMar>
          </w:tcPr>
          <w:p>
            <w:r>
              <w:rPr>
                <w:rFonts w:ascii="Arial" w:cs="Arial" w:eastAsia="Arial" w:hAnsi="Arial"/>
                <w:b w:val="false"/>
                <w:bCs w:val="false"/>
                <w:color w:val="333333"/>
                <w:sz w:val="19"/>
                <w:szCs w:val="19"/>
              </w:rPr>
              <w:t xml:space="preserve">Psychoplastogen: triggers BDNF/GDNF/NGF surge; multi-receptor reset (NMDA, opioid, sigma, SERT, VMAT2); noribogaine sustains neuroplasticity window</w:t>
            </w:r>
          </w:p>
        </w:tc>
        <w:tc>
          <w:tcPr>
            <w:tcW w:type="dxa" w:w="3380"/>
            <w:tcBorders>
              <w:top w:val="single" w:color="CCCCCC" w:sz="1"/>
              <w:left w:val="single" w:color="CCCCCC" w:sz="1"/>
              <w:bottom w:val="single" w:color="CCCCCC" w:sz="1"/>
              <w:right w:val="single" w:color="CCCCCC" w:sz="1"/>
            </w:tcBorders>
            <w:shd w:fill="F0F5FF" w:val="clear"/>
            <w:tcMar>
              <w:top w:type="dxa" w:w="80"/>
              <w:left w:type="dxa" w:w="120"/>
              <w:bottom w:type="dxa" w:w="80"/>
              <w:right w:type="dxa" w:w="120"/>
            </w:tcMar>
          </w:tcPr>
          <w:p>
            <w:r>
              <w:rPr>
                <w:rFonts w:ascii="Arial" w:cs="Arial" w:eastAsia="Arial" w:hAnsi="Arial"/>
                <w:b w:val="false"/>
                <w:bCs w:val="false"/>
                <w:color w:val="333333"/>
                <w:sz w:val="19"/>
                <w:szCs w:val="19"/>
              </w:rPr>
              <w:t xml:space="preserve">Hyperoxic-hypoxic paradox: oscillating O₂ activates HIF-1α, Nrf-2, stem cell mobilization; angiogenesis and mitochondrial biogenesis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E75B6"/>
                <w:sz w:val="20"/>
                <w:szCs w:val="20"/>
              </w:rPr>
              <w:t xml:space="preserve">Neuroplasticity Mechanism</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Rapid BDNF/GDNF elevation in PFC, VTA, NAcc; noribogaine classified 'psychoplastogen'; neurogenesis in cortical neurons</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Stem cell proliferation in hippocampal dentate gyrus and SVZ; VEGF/ERK/Wnt-3 signaling; synaptogenesis (GAP43, synaptophysin)</w:t>
            </w:r>
          </w:p>
        </w:tc>
      </w:tr>
      <w:tr>
        <w:tc>
          <w:tcPr>
            <w:tcW w:type="dxa" w:w="2600"/>
            <w:tcBorders>
              <w:top w:val="single" w:color="CCCCCC" w:sz="1"/>
              <w:left w:val="single" w:color="CCCCCC" w:sz="1"/>
              <w:bottom w:val="single" w:color="CCCCCC" w:sz="1"/>
              <w:right w:val="single" w:color="CCCCCC" w:sz="1"/>
            </w:tcBorders>
            <w:shd w:fill="F0F5FF" w:val="clear"/>
            <w:tcMar>
              <w:top w:type="dxa" w:w="80"/>
              <w:left w:type="dxa" w:w="120"/>
              <w:bottom w:type="dxa" w:w="80"/>
              <w:right w:type="dxa" w:w="120"/>
            </w:tcMar>
          </w:tcPr>
          <w:p>
            <w:r>
              <w:rPr>
                <w:rFonts w:ascii="Arial" w:cs="Arial" w:eastAsia="Arial" w:hAnsi="Arial"/>
                <w:b/>
                <w:bCs/>
                <w:color w:val="2E75B6"/>
                <w:sz w:val="20"/>
                <w:szCs w:val="20"/>
              </w:rPr>
              <w:t xml:space="preserve">Vascular / Structural</w:t>
            </w:r>
          </w:p>
        </w:tc>
        <w:tc>
          <w:tcPr>
            <w:tcW w:type="dxa" w:w="3380"/>
            <w:tcBorders>
              <w:top w:val="single" w:color="CCCCCC" w:sz="1"/>
              <w:left w:val="single" w:color="CCCCCC" w:sz="1"/>
              <w:bottom w:val="single" w:color="CCCCCC" w:sz="1"/>
              <w:right w:val="single" w:color="CCCCCC" w:sz="1"/>
            </w:tcBorders>
            <w:shd w:fill="F0F5FF" w:val="clear"/>
            <w:tcMar>
              <w:top w:type="dxa" w:w="80"/>
              <w:left w:type="dxa" w:w="120"/>
              <w:bottom w:type="dxa" w:w="80"/>
              <w:right w:type="dxa" w:w="120"/>
            </w:tcMar>
          </w:tcPr>
          <w:p>
            <w:r>
              <w:rPr>
                <w:rFonts w:ascii="Arial" w:cs="Arial" w:eastAsia="Arial" w:hAnsi="Arial"/>
                <w:b w:val="false"/>
                <w:bCs w:val="false"/>
                <w:color w:val="333333"/>
                <w:sz w:val="19"/>
                <w:szCs w:val="19"/>
              </w:rPr>
              <w:t xml:space="preserve">Cortical thickening on MRI (memory/emotional regions); possible myelination enhancement; hippocampal/amygdala ADC changes</w:t>
            </w:r>
          </w:p>
        </w:tc>
        <w:tc>
          <w:tcPr>
            <w:tcW w:type="dxa" w:w="3380"/>
            <w:tcBorders>
              <w:top w:val="single" w:color="CCCCCC" w:sz="1"/>
              <w:left w:val="single" w:color="CCCCCC" w:sz="1"/>
              <w:bottom w:val="single" w:color="CCCCCC" w:sz="1"/>
              <w:right w:val="single" w:color="CCCCCC" w:sz="1"/>
            </w:tcBorders>
            <w:shd w:fill="F0F5FF" w:val="clear"/>
            <w:tcMar>
              <w:top w:type="dxa" w:w="80"/>
              <w:left w:type="dxa" w:w="120"/>
              <w:bottom w:type="dxa" w:w="80"/>
              <w:right w:type="dxa" w:w="120"/>
            </w:tcMar>
          </w:tcPr>
          <w:p>
            <w:r>
              <w:rPr>
                <w:rFonts w:ascii="Arial" w:cs="Arial" w:eastAsia="Arial" w:hAnsi="Arial"/>
                <w:b w:val="false"/>
                <w:bCs w:val="false"/>
                <w:color w:val="333333"/>
                <w:sz w:val="19"/>
                <w:szCs w:val="19"/>
              </w:rPr>
              <w:t xml:space="preserve">Documented cerebral angiogenesis on perfusion MRI (↑CBF/CBV); DTI-MRI: regenerated white/gray matter fiber tracts; ↓intracranial pressure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E75B6"/>
                <w:sz w:val="20"/>
                <w:szCs w:val="20"/>
              </w:rPr>
              <w:t xml:space="preserve">Anti-Inflammatory</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Modulates SERT/limbic hyperactivation; NMDA-mediated trauma memory reconsolidation</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Reduces TNF-α, IL-6; attenuates reactive microgliosis/astrogliosis; restores blood-brain barrier; reduces brain edema</w:t>
            </w:r>
          </w:p>
        </w:tc>
      </w:tr>
      <w:tr>
        <w:tc>
          <w:tcPr>
            <w:tcW w:type="dxa" w:w="2600"/>
            <w:tcBorders>
              <w:top w:val="single" w:color="CCCCCC" w:sz="1"/>
              <w:left w:val="single" w:color="CCCCCC" w:sz="1"/>
              <w:bottom w:val="single" w:color="CCCCCC" w:sz="1"/>
              <w:right w:val="single" w:color="CCCCCC" w:sz="1"/>
            </w:tcBorders>
            <w:shd w:fill="F0F5FF" w:val="clear"/>
            <w:tcMar>
              <w:top w:type="dxa" w:w="80"/>
              <w:left w:type="dxa" w:w="120"/>
              <w:bottom w:type="dxa" w:w="80"/>
              <w:right w:type="dxa" w:w="120"/>
            </w:tcMar>
          </w:tcPr>
          <w:p>
            <w:r>
              <w:rPr>
                <w:rFonts w:ascii="Arial" w:cs="Arial" w:eastAsia="Arial" w:hAnsi="Arial"/>
                <w:b/>
                <w:bCs/>
                <w:color w:val="2E75B6"/>
                <w:sz w:val="20"/>
                <w:szCs w:val="20"/>
              </w:rPr>
              <w:t xml:space="preserve">Treatment Duration</w:t>
            </w:r>
          </w:p>
        </w:tc>
        <w:tc>
          <w:tcPr>
            <w:tcW w:type="dxa" w:w="3380"/>
            <w:tcBorders>
              <w:top w:val="single" w:color="CCCCCC" w:sz="1"/>
              <w:left w:val="single" w:color="CCCCCC" w:sz="1"/>
              <w:bottom w:val="single" w:color="CCCCCC" w:sz="1"/>
              <w:right w:val="single" w:color="CCCCCC" w:sz="1"/>
            </w:tcBorders>
            <w:shd w:fill="F0F5FF" w:val="clear"/>
            <w:tcMar>
              <w:top w:type="dxa" w:w="80"/>
              <w:left w:type="dxa" w:w="120"/>
              <w:bottom w:type="dxa" w:w="80"/>
              <w:right w:type="dxa" w:w="120"/>
            </w:tcMar>
          </w:tcPr>
          <w:p>
            <w:r>
              <w:rPr>
                <w:rFonts w:ascii="Arial" w:cs="Arial" w:eastAsia="Arial" w:hAnsi="Arial"/>
                <w:b w:val="false"/>
                <w:bCs w:val="false"/>
                <w:color w:val="333333"/>
                <w:sz w:val="19"/>
                <w:szCs w:val="19"/>
              </w:rPr>
              <w:t xml:space="preserve">Single session (~18–36 hrs); acute neurochemical reset followed by sustained neuroplasticity window</w:t>
            </w:r>
          </w:p>
        </w:tc>
        <w:tc>
          <w:tcPr>
            <w:tcW w:type="dxa" w:w="3380"/>
            <w:tcBorders>
              <w:top w:val="single" w:color="CCCCCC" w:sz="1"/>
              <w:left w:val="single" w:color="CCCCCC" w:sz="1"/>
              <w:bottom w:val="single" w:color="CCCCCC" w:sz="1"/>
              <w:right w:val="single" w:color="CCCCCC" w:sz="1"/>
            </w:tcBorders>
            <w:shd w:fill="F0F5FF" w:val="clear"/>
            <w:tcMar>
              <w:top w:type="dxa" w:w="80"/>
              <w:left w:type="dxa" w:w="120"/>
              <w:bottom w:type="dxa" w:w="80"/>
              <w:right w:type="dxa" w:w="120"/>
            </w:tcMar>
          </w:tcPr>
          <w:p>
            <w:r>
              <w:rPr>
                <w:rFonts w:ascii="Arial" w:cs="Arial" w:eastAsia="Arial" w:hAnsi="Arial"/>
                <w:b w:val="false"/>
                <w:bCs w:val="false"/>
                <w:color w:val="333333"/>
                <w:sz w:val="19"/>
                <w:szCs w:val="19"/>
              </w:rPr>
              <w:t xml:space="preserve">40–60 daily sessions (2–3 months); effects shown up to 6 months; possible waning beyond 12 months (BIMA 36-mo follow-up)</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E75B6"/>
                <w:sz w:val="20"/>
                <w:szCs w:val="20"/>
              </w:rPr>
              <w:t xml:space="preserve">Evidence Level (Highest)</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Open-label observational only (no completed RCT); conducted in Mexico due to Schedule I status in U.S.</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Multiple sham-controlled RCTs completed; VA evidence synthesis; pooled analyses; dosage-response meta-analysis published 2024</w:t>
            </w:r>
          </w:p>
        </w:tc>
      </w:tr>
      <w:tr>
        <w:tc>
          <w:tcPr>
            <w:tcW w:type="dxa" w:w="2600"/>
            <w:tcBorders>
              <w:top w:val="single" w:color="CCCCCC" w:sz="1"/>
              <w:left w:val="single" w:color="CCCCCC" w:sz="1"/>
              <w:bottom w:val="single" w:color="CCCCCC" w:sz="1"/>
              <w:right w:val="single" w:color="CCCCCC" w:sz="1"/>
            </w:tcBorders>
            <w:shd w:fill="F0F5FF" w:val="clear"/>
            <w:tcMar>
              <w:top w:type="dxa" w:w="80"/>
              <w:left w:type="dxa" w:w="120"/>
              <w:bottom w:type="dxa" w:w="80"/>
              <w:right w:type="dxa" w:w="120"/>
            </w:tcMar>
          </w:tcPr>
          <w:p>
            <w:r>
              <w:rPr>
                <w:rFonts w:ascii="Arial" w:cs="Arial" w:eastAsia="Arial" w:hAnsi="Arial"/>
                <w:b/>
                <w:bCs/>
                <w:color w:val="2E75B6"/>
                <w:sz w:val="20"/>
                <w:szCs w:val="20"/>
              </w:rPr>
              <w:t xml:space="preserve">PTSD Outcomes</w:t>
            </w:r>
          </w:p>
        </w:tc>
        <w:tc>
          <w:tcPr>
            <w:tcW w:type="dxa" w:w="3380"/>
            <w:tcBorders>
              <w:top w:val="single" w:color="CCCCCC" w:sz="1"/>
              <w:left w:val="single" w:color="CCCCCC" w:sz="1"/>
              <w:bottom w:val="single" w:color="CCCCCC" w:sz="1"/>
              <w:right w:val="single" w:color="CCCCCC" w:sz="1"/>
            </w:tcBorders>
            <w:shd w:fill="F0F5FF" w:val="clear"/>
            <w:tcMar>
              <w:top w:type="dxa" w:w="80"/>
              <w:left w:type="dxa" w:w="120"/>
              <w:bottom w:type="dxa" w:w="80"/>
              <w:right w:type="dxa" w:w="120"/>
            </w:tcMar>
          </w:tcPr>
          <w:p>
            <w:r>
              <w:rPr>
                <w:rFonts w:ascii="Arial" w:cs="Arial" w:eastAsia="Arial" w:hAnsi="Arial"/>
                <w:b w:val="false"/>
                <w:bCs w:val="false"/>
                <w:color w:val="333333"/>
                <w:sz w:val="19"/>
                <w:szCs w:val="19"/>
              </w:rPr>
              <w:t xml:space="preserve">88% mean reduction (MISTIC, Nature Medicine 2024); 71% no longer met criteria at 1 year; suicidal ideation: 47%→7%</w:t>
            </w:r>
          </w:p>
        </w:tc>
        <w:tc>
          <w:tcPr>
            <w:tcW w:type="dxa" w:w="3380"/>
            <w:tcBorders>
              <w:top w:val="single" w:color="CCCCCC" w:sz="1"/>
              <w:left w:val="single" w:color="CCCCCC" w:sz="1"/>
              <w:bottom w:val="single" w:color="CCCCCC" w:sz="1"/>
              <w:right w:val="single" w:color="CCCCCC" w:sz="1"/>
            </w:tcBorders>
            <w:shd w:fill="F0F5FF" w:val="clear"/>
            <w:tcMar>
              <w:top w:type="dxa" w:w="80"/>
              <w:left w:type="dxa" w:w="120"/>
              <w:bottom w:type="dxa" w:w="80"/>
              <w:right w:type="dxa" w:w="120"/>
            </w:tcMar>
          </w:tcPr>
          <w:p>
            <w:r>
              <w:rPr>
                <w:rFonts w:ascii="Arial" w:cs="Arial" w:eastAsia="Arial" w:hAnsi="Arial"/>
                <w:b w:val="false"/>
                <w:bCs w:val="false"/>
                <w:color w:val="333333"/>
                <w:sz w:val="19"/>
                <w:szCs w:val="19"/>
              </w:rPr>
              <w:t xml:space="preserve">CAPS-5 significant improvement vs sham (Doenyas-Barak 2024 RCT); PCL-M improved in BIMA subgroup with PTSD (–8.6 pts vs sham +4.8)</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E75B6"/>
                <w:sz w:val="20"/>
                <w:szCs w:val="20"/>
              </w:rPr>
              <w:t xml:space="preserve">TBI / Cognitive Outcomes</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81% disability reduction (MISTIC); improvements: concentration, memory, executive function, impulsivity</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~15-pt IQ gain (Harch 2012 Phase I); 52% no longer met PTSD criteria (Harch 2017 case-control); improved processing speed, sleep, balance</w:t>
            </w:r>
          </w:p>
        </w:tc>
      </w:tr>
      <w:tr>
        <w:tc>
          <w:tcPr>
            <w:tcW w:type="dxa" w:w="2600"/>
            <w:tcBorders>
              <w:top w:val="single" w:color="CCCCCC" w:sz="1"/>
              <w:left w:val="single" w:color="CCCCCC" w:sz="1"/>
              <w:bottom w:val="single" w:color="CCCCCC" w:sz="1"/>
              <w:right w:val="single" w:color="CCCCCC" w:sz="1"/>
            </w:tcBorders>
            <w:shd w:fill="F0F5FF" w:val="clear"/>
            <w:tcMar>
              <w:top w:type="dxa" w:w="80"/>
              <w:left w:type="dxa" w:w="120"/>
              <w:bottom w:type="dxa" w:w="80"/>
              <w:right w:type="dxa" w:w="120"/>
            </w:tcMar>
          </w:tcPr>
          <w:p>
            <w:r>
              <w:rPr>
                <w:rFonts w:ascii="Arial" w:cs="Arial" w:eastAsia="Arial" w:hAnsi="Arial"/>
                <w:b/>
                <w:bCs/>
                <w:color w:val="2E75B6"/>
                <w:sz w:val="20"/>
                <w:szCs w:val="20"/>
              </w:rPr>
              <w:t xml:space="preserve">Suicidality</w:t>
            </w:r>
          </w:p>
        </w:tc>
        <w:tc>
          <w:tcPr>
            <w:tcW w:type="dxa" w:w="3380"/>
            <w:tcBorders>
              <w:top w:val="single" w:color="CCCCCC" w:sz="1"/>
              <w:left w:val="single" w:color="CCCCCC" w:sz="1"/>
              <w:bottom w:val="single" w:color="CCCCCC" w:sz="1"/>
              <w:right w:val="single" w:color="CCCCCC" w:sz="1"/>
            </w:tcBorders>
            <w:shd w:fill="F0F5FF" w:val="clear"/>
            <w:tcMar>
              <w:top w:type="dxa" w:w="80"/>
              <w:left w:type="dxa" w:w="120"/>
              <w:bottom w:type="dxa" w:w="80"/>
              <w:right w:type="dxa" w:w="120"/>
            </w:tcMar>
          </w:tcPr>
          <w:p>
            <w:r>
              <w:rPr>
                <w:rFonts w:ascii="Arial" w:cs="Arial" w:eastAsia="Arial" w:hAnsi="Arial"/>
                <w:b w:val="false"/>
                <w:bCs w:val="false"/>
                <w:color w:val="333333"/>
                <w:sz w:val="19"/>
                <w:szCs w:val="19"/>
              </w:rPr>
              <w:t xml:space="preserve">Suicidal ideation: 47%→7% at 1 month post-treatment (MISTIC)</w:t>
            </w:r>
          </w:p>
        </w:tc>
        <w:tc>
          <w:tcPr>
            <w:tcW w:type="dxa" w:w="3380"/>
            <w:tcBorders>
              <w:top w:val="single" w:color="CCCCCC" w:sz="1"/>
              <w:left w:val="single" w:color="CCCCCC" w:sz="1"/>
              <w:bottom w:val="single" w:color="CCCCCC" w:sz="1"/>
              <w:right w:val="single" w:color="CCCCCC" w:sz="1"/>
            </w:tcBorders>
            <w:shd w:fill="F0F5FF" w:val="clear"/>
            <w:tcMar>
              <w:top w:type="dxa" w:w="80"/>
              <w:left w:type="dxa" w:w="120"/>
              <w:bottom w:type="dxa" w:w="80"/>
              <w:right w:type="dxa" w:w="120"/>
            </w:tcMar>
          </w:tcPr>
          <w:p>
            <w:r>
              <w:rPr>
                <w:rFonts w:ascii="Arial" w:cs="Arial" w:eastAsia="Arial" w:hAnsi="Arial"/>
                <w:b w:val="false"/>
                <w:bCs w:val="false"/>
                <w:color w:val="333333"/>
                <w:sz w:val="19"/>
                <w:szCs w:val="19"/>
              </w:rPr>
              <w:t xml:space="preserve">Significant reduction in suicidal ideation in Harch 2017 case-control study — described as 'possibly most significant finding'</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E75B6"/>
                <w:sz w:val="20"/>
                <w:szCs w:val="20"/>
              </w:rPr>
              <w:t xml:space="preserve">Brain Imaging Evidence</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EEG/MRI: cortical oscillation changes, neural complexity, large-scale network connectivity (Nature Mental Health 2025); cortical thickening in emotional/memory regions</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SPECT: ↑CBF in 85 brain regions (Harch 2017); DTI: ↑FA in fronto-limbic WM, genu, fornix (Doenyas-Barak 2022); rsfMRI: restored DMN/frontoparietal networks</w:t>
            </w:r>
          </w:p>
        </w:tc>
      </w:tr>
      <w:tr>
        <w:tc>
          <w:tcPr>
            <w:tcW w:type="dxa" w:w="2600"/>
            <w:tcBorders>
              <w:top w:val="single" w:color="CCCCCC" w:sz="1"/>
              <w:left w:val="single" w:color="CCCCCC" w:sz="1"/>
              <w:bottom w:val="single" w:color="CCCCCC" w:sz="1"/>
              <w:right w:val="single" w:color="CCCCCC" w:sz="1"/>
            </w:tcBorders>
            <w:shd w:fill="F0F5FF" w:val="clear"/>
            <w:tcMar>
              <w:top w:type="dxa" w:w="80"/>
              <w:left w:type="dxa" w:w="120"/>
              <w:bottom w:type="dxa" w:w="80"/>
              <w:right w:type="dxa" w:w="120"/>
            </w:tcMar>
          </w:tcPr>
          <w:p>
            <w:r>
              <w:rPr>
                <w:rFonts w:ascii="Arial" w:cs="Arial" w:eastAsia="Arial" w:hAnsi="Arial"/>
                <w:b/>
                <w:bCs/>
                <w:color w:val="2E75B6"/>
                <w:sz w:val="20"/>
                <w:szCs w:val="20"/>
              </w:rPr>
              <w:t xml:space="preserve">Durability of Effect</w:t>
            </w:r>
          </w:p>
        </w:tc>
        <w:tc>
          <w:tcPr>
            <w:tcW w:type="dxa" w:w="3380"/>
            <w:tcBorders>
              <w:top w:val="single" w:color="CCCCCC" w:sz="1"/>
              <w:left w:val="single" w:color="CCCCCC" w:sz="1"/>
              <w:bottom w:val="single" w:color="CCCCCC" w:sz="1"/>
              <w:right w:val="single" w:color="CCCCCC" w:sz="1"/>
            </w:tcBorders>
            <w:shd w:fill="F0F5FF" w:val="clear"/>
            <w:tcMar>
              <w:top w:type="dxa" w:w="80"/>
              <w:left w:type="dxa" w:w="120"/>
              <w:bottom w:type="dxa" w:w="80"/>
              <w:right w:type="dxa" w:w="120"/>
            </w:tcMar>
          </w:tcPr>
          <w:p>
            <w:r>
              <w:rPr>
                <w:rFonts w:ascii="Arial" w:cs="Arial" w:eastAsia="Arial" w:hAnsi="Arial"/>
                <w:b w:val="false"/>
                <w:bCs w:val="false"/>
                <w:color w:val="333333"/>
                <w:sz w:val="19"/>
                <w:szCs w:val="19"/>
              </w:rPr>
              <w:t xml:space="preserve">1-year follow-up shows 71% maintained PTSD remission; long-term data from qualitative study (10 mo–3 yrs): all 11 participants maintained positive outcomes</w:t>
            </w:r>
          </w:p>
        </w:tc>
        <w:tc>
          <w:tcPr>
            <w:tcW w:type="dxa" w:w="3380"/>
            <w:tcBorders>
              <w:top w:val="single" w:color="CCCCCC" w:sz="1"/>
              <w:left w:val="single" w:color="CCCCCC" w:sz="1"/>
              <w:bottom w:val="single" w:color="CCCCCC" w:sz="1"/>
              <w:right w:val="single" w:color="CCCCCC" w:sz="1"/>
            </w:tcBorders>
            <w:shd w:fill="F0F5FF" w:val="clear"/>
            <w:tcMar>
              <w:top w:type="dxa" w:w="80"/>
              <w:left w:type="dxa" w:w="120"/>
              <w:bottom w:type="dxa" w:w="80"/>
              <w:right w:type="dxa" w:w="120"/>
            </w:tcMar>
          </w:tcPr>
          <w:p>
            <w:r>
              <w:rPr>
                <w:rFonts w:ascii="Arial" w:cs="Arial" w:eastAsia="Arial" w:hAnsi="Arial"/>
                <w:b w:val="false"/>
                <w:bCs w:val="false"/>
                <w:color w:val="333333"/>
                <w:sz w:val="19"/>
                <w:szCs w:val="19"/>
              </w:rPr>
              <w:t xml:space="preserve">BIMA: improvements regressed between 6–12 months; Doenyas-Barak/Harch studies show persistence at 6 months; longer-term data sparse and mixed</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E75B6"/>
                <w:sz w:val="20"/>
                <w:szCs w:val="20"/>
              </w:rPr>
              <w:t xml:space="preserve">Safety</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Cardiac risk (QT prolongation) — requires magnesium co-admin and cardiac monitoring; intense psychedelic experience requires clinical supervision</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Generally well-tolerated; reversible middle ear barotrauma 5–43%; rare oxygen toxicity; 30–39% transient worsening of emotional symptoms at higher doses (systematic review 2024)</w:t>
            </w:r>
          </w:p>
        </w:tc>
      </w:tr>
      <w:tr>
        <w:tc>
          <w:tcPr>
            <w:tcW w:type="dxa" w:w="2600"/>
            <w:tcBorders>
              <w:top w:val="single" w:color="CCCCCC" w:sz="1"/>
              <w:left w:val="single" w:color="CCCCCC" w:sz="1"/>
              <w:bottom w:val="single" w:color="CCCCCC" w:sz="1"/>
              <w:right w:val="single" w:color="CCCCCC" w:sz="1"/>
            </w:tcBorders>
            <w:shd w:fill="F0F5FF" w:val="clear"/>
            <w:tcMar>
              <w:top w:type="dxa" w:w="80"/>
              <w:left w:type="dxa" w:w="120"/>
              <w:bottom w:type="dxa" w:w="80"/>
              <w:right w:type="dxa" w:w="120"/>
            </w:tcMar>
          </w:tcPr>
          <w:p>
            <w:r>
              <w:rPr>
                <w:rFonts w:ascii="Arial" w:cs="Arial" w:eastAsia="Arial" w:hAnsi="Arial"/>
                <w:b/>
                <w:bCs/>
                <w:color w:val="2E75B6"/>
                <w:sz w:val="20"/>
                <w:szCs w:val="20"/>
              </w:rPr>
              <w:t xml:space="preserve">Veteran Studies (Total)</w:t>
            </w:r>
          </w:p>
        </w:tc>
        <w:tc>
          <w:tcPr>
            <w:tcW w:type="dxa" w:w="3380"/>
            <w:tcBorders>
              <w:top w:val="single" w:color="CCCCCC" w:sz="1"/>
              <w:left w:val="single" w:color="CCCCCC" w:sz="1"/>
              <w:bottom w:val="single" w:color="CCCCCC" w:sz="1"/>
              <w:right w:val="single" w:color="CCCCCC" w:sz="1"/>
            </w:tcBorders>
            <w:shd w:fill="F0F5FF" w:val="clear"/>
            <w:tcMar>
              <w:top w:type="dxa" w:w="80"/>
              <w:left w:type="dxa" w:w="120"/>
              <w:bottom w:type="dxa" w:w="80"/>
              <w:right w:type="dxa" w:w="120"/>
            </w:tcMar>
          </w:tcPr>
          <w:p>
            <w:r>
              <w:rPr>
                <w:rFonts w:ascii="Arial" w:cs="Arial" w:eastAsia="Arial" w:hAnsi="Arial"/>
                <w:b w:val="false"/>
                <w:bCs w:val="false"/>
                <w:color w:val="333333"/>
                <w:sz w:val="19"/>
                <w:szCs w:val="19"/>
              </w:rPr>
              <w:t xml:space="preserve">6 published studies (2020–2026); ~130+ veterans total</w:t>
            </w:r>
          </w:p>
        </w:tc>
        <w:tc>
          <w:tcPr>
            <w:tcW w:type="dxa" w:w="3380"/>
            <w:tcBorders>
              <w:top w:val="single" w:color="CCCCCC" w:sz="1"/>
              <w:left w:val="single" w:color="CCCCCC" w:sz="1"/>
              <w:bottom w:val="single" w:color="CCCCCC" w:sz="1"/>
              <w:right w:val="single" w:color="CCCCCC" w:sz="1"/>
            </w:tcBorders>
            <w:shd w:fill="F0F5FF" w:val="clear"/>
            <w:tcMar>
              <w:top w:type="dxa" w:w="80"/>
              <w:left w:type="dxa" w:w="120"/>
              <w:bottom w:type="dxa" w:w="80"/>
              <w:right w:type="dxa" w:w="120"/>
            </w:tcMar>
          </w:tcPr>
          <w:p>
            <w:r>
              <w:rPr>
                <w:rFonts w:ascii="Arial" w:cs="Arial" w:eastAsia="Arial" w:hAnsi="Arial"/>
                <w:b w:val="false"/>
                <w:bCs w:val="false"/>
                <w:color w:val="333333"/>
                <w:sz w:val="19"/>
                <w:szCs w:val="19"/>
              </w:rPr>
              <w:t xml:space="preserve">15+ published trials, case-control, and meta-analyses (1992–2026); 900+ veterans and service members studied across all studies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E75B6"/>
                <w:sz w:val="20"/>
                <w:szCs w:val="20"/>
              </w:rPr>
              <w:t xml:space="preserve">Legal/Access Status</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Schedule I in U.S.; treatment centers in Mexico; FDA Breakthrough Therapy possible ~2028 via Texas program</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9"/>
                <w:szCs w:val="19"/>
              </w:rPr>
              <w:t xml:space="preserve">FDA-approved for other conditions; off-label for TBI/PTSD; VA/DoD covers in 7 states; ongoing $28M USF RCT (NCT06581003)</w:t>
            </w:r>
          </w:p>
        </w:tc>
      </w:tr>
      <w:tr>
        <w:tc>
          <w:tcPr>
            <w:tcW w:type="dxa" w:w="2600"/>
            <w:tcBorders>
              <w:top w:val="single" w:color="CCCCCC" w:sz="1"/>
              <w:left w:val="single" w:color="CCCCCC" w:sz="1"/>
              <w:bottom w:val="single" w:color="CCCCCC" w:sz="1"/>
              <w:right w:val="single" w:color="CCCCCC" w:sz="1"/>
            </w:tcBorders>
            <w:shd w:fill="F0F5FF" w:val="clear"/>
            <w:tcMar>
              <w:top w:type="dxa" w:w="80"/>
              <w:left w:type="dxa" w:w="120"/>
              <w:bottom w:type="dxa" w:w="80"/>
              <w:right w:type="dxa" w:w="120"/>
            </w:tcMar>
          </w:tcPr>
          <w:p>
            <w:r>
              <w:rPr>
                <w:rFonts w:ascii="Arial" w:cs="Arial" w:eastAsia="Arial" w:hAnsi="Arial"/>
                <w:b/>
                <w:bCs/>
                <w:color w:val="2E75B6"/>
                <w:sz w:val="20"/>
                <w:szCs w:val="20"/>
              </w:rPr>
              <w:t xml:space="preserve">Gap / Limitation</w:t>
            </w:r>
          </w:p>
        </w:tc>
        <w:tc>
          <w:tcPr>
            <w:tcW w:type="dxa" w:w="3380"/>
            <w:tcBorders>
              <w:top w:val="single" w:color="CCCCCC" w:sz="1"/>
              <w:left w:val="single" w:color="CCCCCC" w:sz="1"/>
              <w:bottom w:val="single" w:color="CCCCCC" w:sz="1"/>
              <w:right w:val="single" w:color="CCCCCC" w:sz="1"/>
            </w:tcBorders>
            <w:shd w:fill="F0F5FF" w:val="clear"/>
            <w:tcMar>
              <w:top w:type="dxa" w:w="80"/>
              <w:left w:type="dxa" w:w="120"/>
              <w:bottom w:type="dxa" w:w="80"/>
              <w:right w:type="dxa" w:w="120"/>
            </w:tcMar>
          </w:tcPr>
          <w:p>
            <w:r>
              <w:rPr>
                <w:rFonts w:ascii="Arial" w:cs="Arial" w:eastAsia="Arial" w:hAnsi="Arial"/>
                <w:b w:val="false"/>
                <w:bCs w:val="false"/>
                <w:color w:val="333333"/>
                <w:sz w:val="19"/>
                <w:szCs w:val="19"/>
              </w:rPr>
              <w:t xml:space="preserve">No RCT; no blinded controls; small samples; all studies in Mexico; cardiac safety requires careful patient selection</w:t>
            </w:r>
          </w:p>
        </w:tc>
        <w:tc>
          <w:tcPr>
            <w:tcW w:type="dxa" w:w="3380"/>
            <w:tcBorders>
              <w:top w:val="single" w:color="CCCCCC" w:sz="1"/>
              <w:left w:val="single" w:color="CCCCCC" w:sz="1"/>
              <w:bottom w:val="single" w:color="CCCCCC" w:sz="1"/>
              <w:right w:val="single" w:color="CCCCCC" w:sz="1"/>
            </w:tcBorders>
            <w:shd w:fill="F0F5FF" w:val="clear"/>
            <w:tcMar>
              <w:top w:type="dxa" w:w="80"/>
              <w:left w:type="dxa" w:w="120"/>
              <w:bottom w:type="dxa" w:w="80"/>
              <w:right w:type="dxa" w:w="120"/>
            </w:tcMar>
          </w:tcPr>
          <w:p>
            <w:r>
              <w:rPr>
                <w:rFonts w:ascii="Arial" w:cs="Arial" w:eastAsia="Arial" w:hAnsi="Arial"/>
                <w:b w:val="false"/>
                <w:bCs w:val="false"/>
                <w:color w:val="333333"/>
                <w:sz w:val="19"/>
                <w:szCs w:val="19"/>
              </w:rPr>
              <w:t xml:space="preserve">Sham-control methodology disputed (low-pressure air may itself be active); durability uncertain; PTSD usually secondary outcome; DoD/VA studies methodologically challenged by Harch et al.</w:t>
            </w:r>
          </w:p>
        </w:tc>
      </w:tr>
    </w:tbl>
    <w:p>
      <w:pPr>
        <w:spacing w:after="120" w:before="120"/>
      </w:pPr>
    </w:p>
    <w:p>
      <w:pPr>
        <w:pStyle w:val="Heading1"/>
        <w:spacing w:after="120" w:before="360"/>
      </w:pPr>
      <w:r>
        <w:rPr>
          <w:rFonts w:ascii="Arial" w:cs="Arial" w:eastAsia="Arial" w:hAnsi="Arial"/>
          <w:b/>
          <w:bCs/>
          <w:color w:val="1F4E79"/>
          <w:sz w:val="32"/>
          <w:szCs w:val="32"/>
        </w:rPr>
        <w:t xml:space="preserve">PART V: SYNTHESIS AND CONCLUSIONS</w:t>
      </w:r>
    </w:p>
    <w:p>
      <w:pPr>
        <w:pBdr>
          <w:bottom w:val="single" w:color="2E75B6" w:sz="4" w:space="1"/>
        </w:pBdr>
        <w:spacing w:after="120" w:before="120"/>
      </w:pPr>
    </w:p>
    <w:p>
      <w:pPr>
        <w:pStyle w:val="Heading2"/>
        <w:spacing w:after="80" w:before="240"/>
      </w:pPr>
      <w:r>
        <w:rPr>
          <w:rFonts w:ascii="Arial" w:cs="Arial" w:eastAsia="Arial" w:hAnsi="Arial"/>
          <w:b/>
          <w:bCs/>
          <w:color w:val="2E75B6"/>
          <w:sz w:val="26"/>
          <w:szCs w:val="26"/>
        </w:rPr>
        <w:t xml:space="preserve">Two Different Pathways to Brain Wound Healing</w:t>
      </w:r>
    </w:p>
    <w:p>
      <w:pPr>
        <w:spacing w:after="80" w:before="80"/>
      </w:pPr>
      <w:r>
        <w:rPr>
          <w:rFonts w:ascii="Arial" w:cs="Arial" w:eastAsia="Arial" w:hAnsi="Arial"/>
          <w:sz w:val="22"/>
          <w:szCs w:val="22"/>
        </w:rPr>
        <w:t xml:space="preserve">The evidence reviewed here supports a conclusion that would have seemed radical a decade ago: both ibogaine and HBOT appear to operate as genuine brain wound healing agents — not merely symptom modulators — but they heal through fundamentally different and potentially complementary mechanisms. HBOT works from the outside in: restoring the vascular supply, rebuilding the structural scaffold, and reactivating the metabolic machinery of neurons that have been surviving in a chronic energy-deficit state since their original injury. Ibogaine works from the inside out: triggering the brain's own molecular repair signals, resetting pathological neurotransmitter patterns across multiple systems simultaneously, and opening a time-limited window of accelerated plasticity during which maladaptive trauma circuits can be reorganized.</w:t>
      </w:r>
    </w:p>
    <w:p>
      <w:pPr>
        <w:pStyle w:val="Heading2"/>
        <w:spacing w:after="80" w:before="240"/>
      </w:pPr>
      <w:r>
        <w:rPr>
          <w:rFonts w:ascii="Arial" w:cs="Arial" w:eastAsia="Arial" w:hAnsi="Arial"/>
          <w:b/>
          <w:bCs/>
          <w:color w:val="2E75B6"/>
          <w:sz w:val="26"/>
          <w:szCs w:val="26"/>
        </w:rPr>
        <w:t xml:space="preserve">The Shared Destination: Neural Network Restoration</w:t>
      </w:r>
    </w:p>
    <w:p>
      <w:pPr>
        <w:spacing w:after="80" w:before="80"/>
      </w:pPr>
      <w:r>
        <w:rPr>
          <w:rFonts w:ascii="Arial" w:cs="Arial" w:eastAsia="Arial" w:hAnsi="Arial"/>
          <w:sz w:val="22"/>
          <w:szCs w:val="22"/>
        </w:rPr>
        <w:t xml:space="preserve">Despite their different entry points, HBOT (via rsfMRI) and ibogaine (via EEG/MRI) both demonstrate restoration of large-scale neural network function — particularly the default mode network, frontoparietal executive network, and limbic/salience networks that are disrupted in both TBI and PTSD. HBOT rebuilds the roads; ibogaine redirects the traffic. Both approaches ultimately converge on the same therapeutic endpoint: a brain that can regulate fear, sustain executive function, consolidate memories normally, and engage in social behavior without hypervigilance.</w:t>
      </w:r>
    </w:p>
    <w:p>
      <w:pPr>
        <w:pStyle w:val="Heading2"/>
        <w:spacing w:after="80" w:before="240"/>
      </w:pPr>
      <w:r>
        <w:rPr>
          <w:rFonts w:ascii="Arial" w:cs="Arial" w:eastAsia="Arial" w:hAnsi="Arial"/>
          <w:b/>
          <w:bCs/>
          <w:color w:val="2E75B6"/>
          <w:sz w:val="26"/>
          <w:szCs w:val="26"/>
        </w:rPr>
        <w:t xml:space="preserve">The Durability Question</w:t>
      </w:r>
    </w:p>
    <w:p>
      <w:pPr>
        <w:spacing w:after="80" w:before="80"/>
      </w:pPr>
      <w:r>
        <w:rPr>
          <w:rFonts w:ascii="Arial" w:cs="Arial" w:eastAsia="Arial" w:hAnsi="Arial"/>
          <w:sz w:val="22"/>
          <w:szCs w:val="22"/>
        </w:rPr>
        <w:t xml:space="preserve">A critical outstanding difference is durability. Ibogaine's 1-year follow-up data from MISTIC shows 71% of veterans maintained PTSD remission — a remarkably durable effect for a single-session treatment. HBOT's BIMA extended follow-up showed regression to near-baseline values by 24–36 months, suggesting improvement may not be permanent after a single 40-session course. Whether this represents insufficient dosing (BIMA investigators noted 40 sessions may be inadequate) or inherent limitation of structural repair without accompanying psychological processing remains unresolved.</w:t>
      </w:r>
    </w:p>
    <w:p>
      <w:pPr>
        <w:pStyle w:val="Heading2"/>
        <w:spacing w:after="80" w:before="240"/>
      </w:pPr>
      <w:r>
        <w:rPr>
          <w:rFonts w:ascii="Arial" w:cs="Arial" w:eastAsia="Arial" w:hAnsi="Arial"/>
          <w:b/>
          <w:bCs/>
          <w:color w:val="2E75B6"/>
          <w:sz w:val="26"/>
          <w:szCs w:val="26"/>
        </w:rPr>
        <w:t xml:space="preserve">The Complementarity Hypothesis</w:t>
      </w:r>
    </w:p>
    <w:p>
      <w:pPr>
        <w:spacing w:after="80" w:before="80"/>
      </w:pPr>
      <w:r>
        <w:rPr>
          <w:rFonts w:ascii="Arial" w:cs="Arial" w:eastAsia="Arial" w:hAnsi="Arial"/>
          <w:sz w:val="22"/>
          <w:szCs w:val="22"/>
        </w:rPr>
        <w:t xml:space="preserve">The mechanistic case for a combined protocol is compelling. HBOT addresses the physical prerequisites for neural repair: vascular integrity, white matter fiber reconstruction, mitochondrial function, and anti-inflammatory clearance. These are the conditions under which neuroplasticity can most effectively operate. Ibogaine then provides the molecular trigger for rapid neuroplasticity — the BDNF/GDNF surge, the psychoplastogenic window, the multi-receptor reset — in a brain now better prepared to integrate those changes. Additionally, ibogaine's unique ability to reconsolidate traumatic memories addresses the psychological component of PTSD that HBOT alone cannot reach. A rational combined protocol might use HBOT first (to prepare brain infrastructure) followed by ibogaine (to trigger reorganization), with HBOT continued post-ibogaine to consolidate the structural changes. No clinical trial has tested this hypothesis.</w:t>
      </w:r>
    </w:p>
    <w:p>
      <w:pPr>
        <w:pStyle w:val="Heading2"/>
        <w:spacing w:after="80" w:before="240"/>
      </w:pPr>
      <w:r>
        <w:rPr>
          <w:rFonts w:ascii="Arial" w:cs="Arial" w:eastAsia="Arial" w:hAnsi="Arial"/>
          <w:b/>
          <w:bCs/>
          <w:color w:val="2E75B6"/>
          <w:sz w:val="26"/>
          <w:szCs w:val="26"/>
        </w:rPr>
        <w:t xml:space="preserve">The Contested Evidence Problem</w:t>
      </w:r>
    </w:p>
    <w:p>
      <w:pPr>
        <w:spacing w:after="80" w:before="80"/>
      </w:pPr>
      <w:r>
        <w:rPr>
          <w:rFonts w:ascii="Arial" w:cs="Arial" w:eastAsia="Arial" w:hAnsi="Arial"/>
          <w:sz w:val="22"/>
          <w:szCs w:val="22"/>
        </w:rPr>
        <w:t xml:space="preserve">A significant complication in evaluating HBOT is the ongoing methodological dispute about whether 'sham' conditions in DoD-sponsored trials were truly inert. The 2023 Harch paper demonstrating that hyperbaric air alone mobilizes stem cells — via pressure-dependent mechanisms — raises the possibility that the Wolf (2012) and Miller (2015) 'null result' RCTs were actually comparing HBOT to another active treatment, explaining why both groups improved. If confirmed, the DoD trials that were used to argue against HBOT's efficacy may have actually underestimated it. The Doenyas-Barak 2024 RCT used the most methodologically conservative sham to date (1.02 ATA, 21% oxygen — barely above ambient) and showed clear between-group superiority for HBOT. This debate will likely only be fully resolved by the USF Health trial's design.</w:t>
      </w:r>
    </w:p>
    <w:p>
      <w:pPr>
        <w:pStyle w:val="Heading2"/>
        <w:spacing w:after="80" w:before="240"/>
      </w:pPr>
      <w:r>
        <w:rPr>
          <w:rFonts w:ascii="Arial" w:cs="Arial" w:eastAsia="Arial" w:hAnsi="Arial"/>
          <w:b/>
          <w:bCs/>
          <w:color w:val="2E75B6"/>
          <w:sz w:val="26"/>
          <w:szCs w:val="26"/>
        </w:rPr>
        <w:t xml:space="preserve">Access, Policy, and the Veteran Population</w:t>
      </w:r>
    </w:p>
    <w:p>
      <w:pPr>
        <w:spacing w:after="80" w:before="80"/>
      </w:pPr>
      <w:r>
        <w:rPr>
          <w:rFonts w:ascii="Arial" w:cs="Arial" w:eastAsia="Arial" w:hAnsi="Arial"/>
          <w:sz w:val="22"/>
          <w:szCs w:val="22"/>
        </w:rPr>
        <w:t xml:space="preserve">510,000 veterans were diagnosed with TBI between 2000 and 2024. Up to 30% of combat veterans develop PTSD. Current standard-of-care treatments (trauma-focused psychotherapy, SSRIs) fail approximately 50% of treatment-resistant patients. Both ibogaine and HBOT appear to address mechanisms — vascular, metabolic, inflammatory, neuroplastic, and psychological — that no existing approved treatment targets. The VA currently covers HBOT off-label in 7 states; ibogaine treatment requires travel to Mexico. The Texas $50M initiative, Florida's USF trial, and the DoD NDAA authorizing service member participation in psychedelic trials represent the first systematic attempt to generate the evidence base needed for policy change.</w:t>
      </w:r>
    </w:p>
    <w:p>
      <w:pPr>
        <w:pBdr>
          <w:bottom w:val="single" w:color="2E75B6" w:sz="4" w:space="1"/>
        </w:pBdr>
        <w:spacing w:after="120" w:before="120"/>
      </w:pPr>
    </w:p>
    <w:p>
      <w:pPr>
        <w:spacing w:after="40" w:before="120"/>
        <w:jc w:val="center"/>
      </w:pPr>
      <w:r>
        <w:rPr>
          <w:rFonts w:ascii="Arial" w:cs="Arial" w:eastAsia="Arial" w:hAnsi="Arial"/>
          <w:b/>
          <w:bCs/>
          <w:color w:val="CC0000"/>
          <w:sz w:val="22"/>
          <w:szCs w:val="22"/>
        </w:rPr>
        <w:t xml:space="preserve">DISCLAIMER</w:t>
      </w:r>
    </w:p>
    <w:p>
      <w:pPr>
        <w:spacing w:after="120" w:before="40"/>
        <w:jc w:val="center"/>
      </w:pPr>
      <w:r>
        <w:rPr>
          <w:rFonts w:ascii="Arial" w:cs="Arial" w:eastAsia="Arial" w:hAnsi="Arial"/>
          <w:i/>
          <w:iCs/>
          <w:color w:val="888888"/>
          <w:sz w:val="18"/>
          <w:szCs w:val="18"/>
        </w:rPr>
        <w:t xml:space="preserve">This document is an informational research summary. It is not medical advice. Ibogaine is a Schedule I substance in the United States. HBOT is not FDA-approved for TBI or PTSD. Veterans should consult their VA provider or a qualified clinician before pursuing any treatment. Both treatments carry risks requiring professional clinical evaluation.</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8"/>
        <w:szCs w:val="18"/>
      </w:rPr>
      <w:t xml:space="preserve">Ibogaine vs. HBOT for Veteran TBI/PTSD  |  Comprehensive Research Review  |  April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F4E79"/>
      <w:sz w:val="32"/>
      <w:szCs w:val="32"/>
    </w:rPr>
  </w:style>
  <w:style w:type="paragraph" w:styleId="Heading2">
    <w:name w:val="Heading 2"/>
    <w:basedOn w:val="Normal"/>
    <w:next w:val="Normal"/>
    <w:qFormat/>
    <w:pPr>
      <w:spacing w:after="80" w:before="24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2026-04-10T04:45:49.169Z</dcterms:created>
  <dcterms:modified xsi:type="dcterms:W3CDTF">2026-04-10T04:45:49.170Z</dcterms:modified>
</cp:coreProperties>
</file>

<file path=docProps/custom.xml><?xml version="1.0" encoding="utf-8"?>
<Properties xmlns="http://schemas.openxmlformats.org/officeDocument/2006/custom-properties" xmlns:vt="http://schemas.openxmlformats.org/officeDocument/2006/docPropsVTypes"/>
</file>