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FDFB" w14:textId="77777777" w:rsidR="00C65EA5" w:rsidRDefault="00000000">
      <w:pPr>
        <w:spacing w:before="200" w:after="100"/>
        <w:jc w:val="center"/>
      </w:pPr>
      <w:r>
        <w:rPr>
          <w:b/>
          <w:bCs/>
          <w:color w:val="595959"/>
          <w:sz w:val="20"/>
          <w:szCs w:val="20"/>
        </w:rPr>
        <w:t xml:space="preserve">TreatNOW </w:t>
      </w:r>
      <w:proofErr w:type="gramStart"/>
      <w:r>
        <w:rPr>
          <w:b/>
          <w:bCs/>
          <w:color w:val="595959"/>
          <w:sz w:val="20"/>
          <w:szCs w:val="20"/>
        </w:rPr>
        <w:t>Coalition  |</w:t>
      </w:r>
      <w:proofErr w:type="gramEnd"/>
      <w:r>
        <w:rPr>
          <w:b/>
          <w:bCs/>
          <w:color w:val="595959"/>
          <w:sz w:val="20"/>
          <w:szCs w:val="20"/>
        </w:rPr>
        <w:t xml:space="preserve">  BART Foundation</w:t>
      </w:r>
    </w:p>
    <w:p w14:paraId="39925097" w14:textId="77777777" w:rsidR="00C65EA5" w:rsidRDefault="00000000">
      <w:pPr>
        <w:spacing w:after="260"/>
        <w:jc w:val="center"/>
      </w:pPr>
      <w:r>
        <w:rPr>
          <w:i/>
          <w:iCs/>
          <w:color w:val="595959"/>
          <w:sz w:val="18"/>
          <w:szCs w:val="18"/>
        </w:rPr>
        <w:t>A National Policy White Paper</w:t>
      </w:r>
    </w:p>
    <w:p w14:paraId="3D2A727E" w14:textId="77777777" w:rsidR="00C65EA5" w:rsidRDefault="00C65EA5">
      <w:pPr>
        <w:pBdr>
          <w:bottom w:val="single" w:sz="10" w:space="1" w:color="1B3A5C"/>
        </w:pBdr>
        <w:spacing w:before="60" w:after="160"/>
      </w:pPr>
    </w:p>
    <w:p w14:paraId="20772A1C" w14:textId="77777777" w:rsidR="00C65EA5" w:rsidRDefault="00000000">
      <w:pPr>
        <w:spacing w:before="200" w:after="80"/>
        <w:jc w:val="center"/>
      </w:pPr>
      <w:r>
        <w:rPr>
          <w:b/>
          <w:bCs/>
          <w:color w:val="1B3A5C"/>
          <w:sz w:val="44"/>
          <w:szCs w:val="44"/>
        </w:rPr>
        <w:t>The Hidden Wound:</w:t>
      </w:r>
    </w:p>
    <w:p w14:paraId="169741F3" w14:textId="77777777" w:rsidR="00C65EA5" w:rsidRDefault="00000000">
      <w:pPr>
        <w:spacing w:after="80"/>
        <w:jc w:val="center"/>
      </w:pPr>
      <w:r>
        <w:rPr>
          <w:b/>
          <w:bCs/>
          <w:color w:val="1B3A5C"/>
          <w:sz w:val="36"/>
          <w:szCs w:val="36"/>
        </w:rPr>
        <w:t>Domestic Violence, Traumatic Brain Injury,</w:t>
      </w:r>
    </w:p>
    <w:p w14:paraId="43C9CF95" w14:textId="77777777" w:rsidR="00C65EA5" w:rsidRDefault="00000000">
      <w:pPr>
        <w:spacing w:after="280"/>
        <w:jc w:val="center"/>
      </w:pPr>
      <w:r>
        <w:rPr>
          <w:b/>
          <w:bCs/>
          <w:color w:val="1B3A5C"/>
          <w:sz w:val="36"/>
          <w:szCs w:val="36"/>
        </w:rPr>
        <w:t>and the Case for Hyperbaric Oxygen Therapy</w:t>
      </w:r>
    </w:p>
    <w:p w14:paraId="302D6BD5" w14:textId="77777777" w:rsidR="00C65EA5" w:rsidRDefault="00000000">
      <w:pPr>
        <w:spacing w:after="40"/>
        <w:jc w:val="center"/>
      </w:pPr>
      <w:r>
        <w:rPr>
          <w:i/>
          <w:iCs/>
          <w:color w:val="595959"/>
        </w:rPr>
        <w:t>Millions of survivors of intimate partner violence are living with an undiagnosed, untreated physical brain injury.</w:t>
      </w:r>
    </w:p>
    <w:p w14:paraId="598EA903" w14:textId="77777777" w:rsidR="00C65EA5" w:rsidRDefault="00000000">
      <w:pPr>
        <w:spacing w:after="360"/>
        <w:jc w:val="center"/>
      </w:pPr>
      <w:r>
        <w:rPr>
          <w:i/>
          <w:iCs/>
          <w:color w:val="595959"/>
        </w:rPr>
        <w:t>New York has become the first state to name the problem. The treatment already exists.</w:t>
      </w:r>
    </w:p>
    <w:tbl>
      <w:tblPr>
        <w:tblW w:w="1008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360"/>
        <w:gridCol w:w="3360"/>
        <w:gridCol w:w="3360"/>
      </w:tblGrid>
      <w:tr w:rsidR="00C65EA5" w14:paraId="57685E66" w14:textId="77777777">
        <w:tblPrEx>
          <w:tblCellMar>
            <w:top w:w="0" w:type="dxa"/>
            <w:bottom w:w="0" w:type="dxa"/>
          </w:tblCellMar>
        </w:tblPrEx>
        <w:tc>
          <w:tcPr>
            <w:tcW w:w="3360" w:type="dxa"/>
            <w:shd w:val="clear" w:color="auto" w:fill="FBEAEC"/>
            <w:tcMar>
              <w:top w:w="180" w:type="dxa"/>
              <w:left w:w="160" w:type="dxa"/>
              <w:bottom w:w="180" w:type="dxa"/>
              <w:right w:w="160" w:type="dxa"/>
            </w:tcMar>
            <w:vAlign w:val="center"/>
          </w:tcPr>
          <w:p w14:paraId="50F6C1BD" w14:textId="77777777" w:rsidR="00C65EA5" w:rsidRDefault="00000000">
            <w:pPr>
              <w:spacing w:after="60"/>
              <w:jc w:val="center"/>
            </w:pPr>
            <w:r>
              <w:rPr>
                <w:b/>
                <w:bCs/>
                <w:color w:val="B0202A"/>
                <w:sz w:val="40"/>
                <w:szCs w:val="40"/>
              </w:rPr>
              <w:t>75–80%</w:t>
            </w:r>
          </w:p>
          <w:p w14:paraId="25734DD9" w14:textId="77777777" w:rsidR="00C65EA5" w:rsidRDefault="00000000">
            <w:pPr>
              <w:jc w:val="center"/>
            </w:pPr>
            <w:r>
              <w:rPr>
                <w:b/>
                <w:bCs/>
                <w:color w:val="595959"/>
                <w:sz w:val="17"/>
                <w:szCs w:val="17"/>
              </w:rPr>
              <w:t>OF DV/IPV SURVIVORS</w:t>
            </w:r>
          </w:p>
          <w:p w14:paraId="537E3DAC" w14:textId="77777777" w:rsidR="00C65EA5" w:rsidRDefault="00000000">
            <w:pPr>
              <w:spacing w:before="40"/>
              <w:jc w:val="center"/>
            </w:pPr>
            <w:r>
              <w:rPr>
                <w:i/>
                <w:iCs/>
                <w:color w:val="8C8C8C"/>
                <w:sz w:val="15"/>
                <w:szCs w:val="15"/>
              </w:rPr>
              <w:t>sustain a brain injury</w:t>
            </w:r>
          </w:p>
        </w:tc>
        <w:tc>
          <w:tcPr>
            <w:tcW w:w="3360" w:type="dxa"/>
            <w:shd w:val="clear" w:color="auto" w:fill="F2F5F8"/>
            <w:tcMar>
              <w:top w:w="180" w:type="dxa"/>
              <w:left w:w="160" w:type="dxa"/>
              <w:bottom w:w="180" w:type="dxa"/>
              <w:right w:w="160" w:type="dxa"/>
            </w:tcMar>
            <w:vAlign w:val="center"/>
          </w:tcPr>
          <w:p w14:paraId="2D10C009" w14:textId="77777777" w:rsidR="00C65EA5" w:rsidRDefault="00000000">
            <w:pPr>
              <w:spacing w:after="60"/>
              <w:jc w:val="center"/>
            </w:pPr>
            <w:r>
              <w:rPr>
                <w:b/>
                <w:bCs/>
                <w:color w:val="1B3A5C"/>
                <w:sz w:val="40"/>
                <w:szCs w:val="40"/>
              </w:rPr>
              <w:t>1.6M+</w:t>
            </w:r>
          </w:p>
          <w:p w14:paraId="76A3D6DC" w14:textId="77777777" w:rsidR="00C65EA5" w:rsidRDefault="00000000">
            <w:pPr>
              <w:jc w:val="center"/>
            </w:pPr>
            <w:r>
              <w:rPr>
                <w:b/>
                <w:bCs/>
                <w:color w:val="595959"/>
                <w:sz w:val="17"/>
                <w:szCs w:val="17"/>
              </w:rPr>
              <w:t>ESTIMATED ANNUAL</w:t>
            </w:r>
          </w:p>
          <w:p w14:paraId="06769B9A" w14:textId="77777777" w:rsidR="00C65EA5" w:rsidRDefault="00000000">
            <w:pPr>
              <w:spacing w:before="40"/>
              <w:jc w:val="center"/>
            </w:pPr>
            <w:r>
              <w:rPr>
                <w:i/>
                <w:iCs/>
                <w:color w:val="8C8C8C"/>
                <w:sz w:val="15"/>
                <w:szCs w:val="15"/>
              </w:rPr>
              <w:t>U.S. brain injuries from IPV</w:t>
            </w:r>
          </w:p>
        </w:tc>
        <w:tc>
          <w:tcPr>
            <w:tcW w:w="3360" w:type="dxa"/>
            <w:shd w:val="clear" w:color="auto" w:fill="FCF3DC"/>
            <w:tcMar>
              <w:top w:w="180" w:type="dxa"/>
              <w:left w:w="160" w:type="dxa"/>
              <w:bottom w:w="180" w:type="dxa"/>
              <w:right w:w="160" w:type="dxa"/>
            </w:tcMar>
            <w:vAlign w:val="center"/>
          </w:tcPr>
          <w:p w14:paraId="0F3C2928" w14:textId="77777777" w:rsidR="00C65EA5" w:rsidRDefault="00000000">
            <w:pPr>
              <w:spacing w:after="60"/>
              <w:jc w:val="center"/>
            </w:pPr>
            <w:r>
              <w:rPr>
                <w:b/>
                <w:bCs/>
                <w:color w:val="8A6D1A"/>
                <w:sz w:val="40"/>
                <w:szCs w:val="40"/>
              </w:rPr>
              <w:t>29</w:t>
            </w:r>
          </w:p>
          <w:p w14:paraId="12039E94" w14:textId="77777777" w:rsidR="00C65EA5" w:rsidRDefault="00000000">
            <w:pPr>
              <w:jc w:val="center"/>
            </w:pPr>
            <w:r>
              <w:rPr>
                <w:b/>
                <w:bCs/>
                <w:color w:val="595959"/>
                <w:sz w:val="17"/>
                <w:szCs w:val="17"/>
              </w:rPr>
              <w:t>PEER-REVIEWED STUDIES</w:t>
            </w:r>
          </w:p>
          <w:p w14:paraId="2FE74C56" w14:textId="77777777" w:rsidR="00C65EA5" w:rsidRDefault="00000000">
            <w:pPr>
              <w:spacing w:before="40"/>
              <w:jc w:val="center"/>
            </w:pPr>
            <w:r>
              <w:rPr>
                <w:i/>
                <w:iCs/>
                <w:color w:val="8C8C8C"/>
                <w:sz w:val="15"/>
                <w:szCs w:val="15"/>
              </w:rPr>
              <w:t>support HBOT for brain-wound recovery</w:t>
            </w:r>
          </w:p>
        </w:tc>
      </w:tr>
    </w:tbl>
    <w:p w14:paraId="59FA631E" w14:textId="77777777" w:rsidR="00C65EA5" w:rsidRDefault="00000000">
      <w:pPr>
        <w:spacing w:before="420"/>
      </w:pPr>
      <w:r>
        <w:rPr>
          <w:color w:val="595959"/>
          <w:sz w:val="17"/>
          <w:szCs w:val="17"/>
        </w:rPr>
        <w:t>Prepared by the TreatNOW Coalition in partnership with the BART Foundation</w:t>
      </w:r>
    </w:p>
    <w:p w14:paraId="75B95D99" w14:textId="77777777" w:rsidR="00C65EA5" w:rsidRDefault="00000000">
      <w:pPr>
        <w:spacing w:before="40"/>
      </w:pPr>
      <w:r>
        <w:rPr>
          <w:color w:val="595959"/>
          <w:sz w:val="17"/>
          <w:szCs w:val="17"/>
        </w:rPr>
        <w:t>June 2026</w:t>
      </w:r>
    </w:p>
    <w:p w14:paraId="63489F68" w14:textId="77777777" w:rsidR="00C65EA5" w:rsidRDefault="00000000">
      <w:r>
        <w:br w:type="page"/>
      </w:r>
    </w:p>
    <w:p w14:paraId="7418371D" w14:textId="77777777" w:rsidR="00C65EA5" w:rsidRDefault="00000000">
      <w:pPr>
        <w:pStyle w:val="Heading1"/>
        <w:spacing w:before="0" w:after="200"/>
      </w:pPr>
      <w:bookmarkStart w:id="0" w:name="_Toc233126259"/>
      <w:r>
        <w:lastRenderedPageBreak/>
        <w:t>Table of Contents</w:t>
      </w:r>
      <w:bookmarkEnd w:id="0"/>
    </w:p>
    <w:sdt>
      <w:sdtPr>
        <w:alias w:val="Table of Contents"/>
        <w:id w:val="989371978"/>
      </w:sdtPr>
      <w:sdtContent>
        <w:p w14:paraId="600747AC" w14:textId="77777777" w:rsidR="00166F94" w:rsidRDefault="00000000">
          <w:pPr>
            <w:pStyle w:val="TOC1"/>
            <w:tabs>
              <w:tab w:val="right" w:leader="dot" w:pos="10070"/>
            </w:tabs>
            <w:rPr>
              <w:noProof/>
            </w:rPr>
          </w:pPr>
          <w:r>
            <w:fldChar w:fldCharType="begin"/>
          </w:r>
          <w:r>
            <w:instrText>TOC \h \o "1-2"</w:instrText>
          </w:r>
          <w:r>
            <w:fldChar w:fldCharType="separate"/>
          </w:r>
          <w:hyperlink w:anchor="_Toc233126259" w:history="1">
            <w:r w:rsidR="00166F94" w:rsidRPr="00636760">
              <w:rPr>
                <w:rStyle w:val="Hyperlink"/>
                <w:noProof/>
              </w:rPr>
              <w:t>Table of Contents</w:t>
            </w:r>
            <w:r w:rsidR="00166F94">
              <w:rPr>
                <w:noProof/>
              </w:rPr>
              <w:tab/>
            </w:r>
            <w:r w:rsidR="00166F94">
              <w:rPr>
                <w:noProof/>
              </w:rPr>
              <w:fldChar w:fldCharType="begin"/>
            </w:r>
            <w:r w:rsidR="00166F94">
              <w:rPr>
                <w:noProof/>
              </w:rPr>
              <w:instrText xml:space="preserve"> PAGEREF _Toc233126259 \h </w:instrText>
            </w:r>
            <w:r w:rsidR="00166F94">
              <w:rPr>
                <w:noProof/>
              </w:rPr>
            </w:r>
            <w:r w:rsidR="00166F94">
              <w:rPr>
                <w:noProof/>
              </w:rPr>
              <w:fldChar w:fldCharType="separate"/>
            </w:r>
            <w:r w:rsidR="00166F94">
              <w:rPr>
                <w:noProof/>
              </w:rPr>
              <w:t>1</w:t>
            </w:r>
            <w:r w:rsidR="00166F94">
              <w:rPr>
                <w:noProof/>
              </w:rPr>
              <w:fldChar w:fldCharType="end"/>
            </w:r>
          </w:hyperlink>
        </w:p>
        <w:p w14:paraId="1255804E" w14:textId="77777777" w:rsidR="00166F94" w:rsidRDefault="00166F94">
          <w:pPr>
            <w:pStyle w:val="TOC1"/>
            <w:tabs>
              <w:tab w:val="right" w:leader="dot" w:pos="10070"/>
            </w:tabs>
            <w:rPr>
              <w:noProof/>
            </w:rPr>
          </w:pPr>
          <w:hyperlink w:anchor="_Toc233126260" w:history="1">
            <w:r w:rsidRPr="00636760">
              <w:rPr>
                <w:rStyle w:val="Hyperlink"/>
                <w:noProof/>
              </w:rPr>
              <w:t>Executive Summary</w:t>
            </w:r>
            <w:r>
              <w:rPr>
                <w:noProof/>
              </w:rPr>
              <w:tab/>
            </w:r>
            <w:r>
              <w:rPr>
                <w:noProof/>
              </w:rPr>
              <w:fldChar w:fldCharType="begin"/>
            </w:r>
            <w:r>
              <w:rPr>
                <w:noProof/>
              </w:rPr>
              <w:instrText xml:space="preserve"> PAGEREF _Toc233126260 \h </w:instrText>
            </w:r>
            <w:r>
              <w:rPr>
                <w:noProof/>
              </w:rPr>
            </w:r>
            <w:r>
              <w:rPr>
                <w:noProof/>
              </w:rPr>
              <w:fldChar w:fldCharType="separate"/>
            </w:r>
            <w:r>
              <w:rPr>
                <w:noProof/>
              </w:rPr>
              <w:t>1</w:t>
            </w:r>
            <w:r>
              <w:rPr>
                <w:noProof/>
              </w:rPr>
              <w:fldChar w:fldCharType="end"/>
            </w:r>
          </w:hyperlink>
        </w:p>
        <w:p w14:paraId="7527FC9C" w14:textId="77777777" w:rsidR="00166F94" w:rsidRDefault="00166F94">
          <w:pPr>
            <w:pStyle w:val="TOC1"/>
            <w:tabs>
              <w:tab w:val="right" w:leader="dot" w:pos="10070"/>
            </w:tabs>
            <w:rPr>
              <w:noProof/>
            </w:rPr>
          </w:pPr>
          <w:hyperlink w:anchor="_Toc233126261" w:history="1">
            <w:r w:rsidRPr="00636760">
              <w:rPr>
                <w:rStyle w:val="Hyperlink"/>
                <w:noProof/>
              </w:rPr>
              <w:t>Part One: The National Scale of the Crisis</w:t>
            </w:r>
            <w:r>
              <w:rPr>
                <w:noProof/>
              </w:rPr>
              <w:tab/>
            </w:r>
            <w:r>
              <w:rPr>
                <w:noProof/>
              </w:rPr>
              <w:fldChar w:fldCharType="begin"/>
            </w:r>
            <w:r>
              <w:rPr>
                <w:noProof/>
              </w:rPr>
              <w:instrText xml:space="preserve"> PAGEREF _Toc233126261 \h </w:instrText>
            </w:r>
            <w:r>
              <w:rPr>
                <w:noProof/>
              </w:rPr>
            </w:r>
            <w:r>
              <w:rPr>
                <w:noProof/>
              </w:rPr>
              <w:fldChar w:fldCharType="separate"/>
            </w:r>
            <w:r>
              <w:rPr>
                <w:noProof/>
              </w:rPr>
              <w:t>1</w:t>
            </w:r>
            <w:r>
              <w:rPr>
                <w:noProof/>
              </w:rPr>
              <w:fldChar w:fldCharType="end"/>
            </w:r>
          </w:hyperlink>
        </w:p>
        <w:p w14:paraId="1A12E96E" w14:textId="77777777" w:rsidR="00166F94" w:rsidRDefault="00166F94">
          <w:pPr>
            <w:pStyle w:val="TOC2"/>
            <w:tabs>
              <w:tab w:val="right" w:leader="dot" w:pos="10070"/>
            </w:tabs>
            <w:rPr>
              <w:noProof/>
            </w:rPr>
          </w:pPr>
          <w:hyperlink w:anchor="_Toc233126262" w:history="1">
            <w:r w:rsidRPr="00636760">
              <w:rPr>
                <w:rStyle w:val="Hyperlink"/>
                <w:noProof/>
              </w:rPr>
              <w:t>How Many Americans Are Affected</w:t>
            </w:r>
            <w:r>
              <w:rPr>
                <w:noProof/>
              </w:rPr>
              <w:tab/>
            </w:r>
            <w:r>
              <w:rPr>
                <w:noProof/>
              </w:rPr>
              <w:fldChar w:fldCharType="begin"/>
            </w:r>
            <w:r>
              <w:rPr>
                <w:noProof/>
              </w:rPr>
              <w:instrText xml:space="preserve"> PAGEREF _Toc233126262 \h </w:instrText>
            </w:r>
            <w:r>
              <w:rPr>
                <w:noProof/>
              </w:rPr>
            </w:r>
            <w:r>
              <w:rPr>
                <w:noProof/>
              </w:rPr>
              <w:fldChar w:fldCharType="separate"/>
            </w:r>
            <w:r>
              <w:rPr>
                <w:noProof/>
              </w:rPr>
              <w:t>1</w:t>
            </w:r>
            <w:r>
              <w:rPr>
                <w:noProof/>
              </w:rPr>
              <w:fldChar w:fldCharType="end"/>
            </w:r>
          </w:hyperlink>
        </w:p>
        <w:p w14:paraId="6291E512" w14:textId="77777777" w:rsidR="00166F94" w:rsidRDefault="00166F94">
          <w:pPr>
            <w:pStyle w:val="TOC2"/>
            <w:tabs>
              <w:tab w:val="right" w:leader="dot" w:pos="10070"/>
            </w:tabs>
            <w:rPr>
              <w:noProof/>
            </w:rPr>
          </w:pPr>
          <w:hyperlink w:anchor="_Toc233126263" w:history="1">
            <w:r w:rsidRPr="00636760">
              <w:rPr>
                <w:rStyle w:val="Hyperlink"/>
                <w:noProof/>
              </w:rPr>
              <w:t>Strangulation: The Most Dangerous and Most Overlooked Form of Physical IPV</w:t>
            </w:r>
            <w:r>
              <w:rPr>
                <w:noProof/>
              </w:rPr>
              <w:tab/>
            </w:r>
            <w:r>
              <w:rPr>
                <w:noProof/>
              </w:rPr>
              <w:fldChar w:fldCharType="begin"/>
            </w:r>
            <w:r>
              <w:rPr>
                <w:noProof/>
              </w:rPr>
              <w:instrText xml:space="preserve"> PAGEREF _Toc233126263 \h </w:instrText>
            </w:r>
            <w:r>
              <w:rPr>
                <w:noProof/>
              </w:rPr>
            </w:r>
            <w:r>
              <w:rPr>
                <w:noProof/>
              </w:rPr>
              <w:fldChar w:fldCharType="separate"/>
            </w:r>
            <w:r>
              <w:rPr>
                <w:noProof/>
              </w:rPr>
              <w:t>1</w:t>
            </w:r>
            <w:r>
              <w:rPr>
                <w:noProof/>
              </w:rPr>
              <w:fldChar w:fldCharType="end"/>
            </w:r>
          </w:hyperlink>
        </w:p>
        <w:p w14:paraId="120DC1A7" w14:textId="77777777" w:rsidR="00166F94" w:rsidRDefault="00166F94">
          <w:pPr>
            <w:pStyle w:val="TOC1"/>
            <w:tabs>
              <w:tab w:val="right" w:leader="dot" w:pos="10070"/>
            </w:tabs>
            <w:rPr>
              <w:noProof/>
            </w:rPr>
          </w:pPr>
          <w:hyperlink w:anchor="_Toc233126264" w:history="1">
            <w:r w:rsidRPr="00636760">
              <w:rPr>
                <w:rStyle w:val="Hyperlink"/>
                <w:noProof/>
              </w:rPr>
              <w:t>Part Two: Domestic Violence Is a Traumatic Brain Injury Crisis</w:t>
            </w:r>
            <w:r>
              <w:rPr>
                <w:noProof/>
              </w:rPr>
              <w:tab/>
            </w:r>
            <w:r>
              <w:rPr>
                <w:noProof/>
              </w:rPr>
              <w:fldChar w:fldCharType="begin"/>
            </w:r>
            <w:r>
              <w:rPr>
                <w:noProof/>
              </w:rPr>
              <w:instrText xml:space="preserve"> PAGEREF _Toc233126264 \h </w:instrText>
            </w:r>
            <w:r>
              <w:rPr>
                <w:noProof/>
              </w:rPr>
            </w:r>
            <w:r>
              <w:rPr>
                <w:noProof/>
              </w:rPr>
              <w:fldChar w:fldCharType="separate"/>
            </w:r>
            <w:r>
              <w:rPr>
                <w:noProof/>
              </w:rPr>
              <w:t>1</w:t>
            </w:r>
            <w:r>
              <w:rPr>
                <w:noProof/>
              </w:rPr>
              <w:fldChar w:fldCharType="end"/>
            </w:r>
          </w:hyperlink>
        </w:p>
        <w:p w14:paraId="34CADC8A" w14:textId="77777777" w:rsidR="00166F94" w:rsidRDefault="00166F94">
          <w:pPr>
            <w:pStyle w:val="TOC2"/>
            <w:tabs>
              <w:tab w:val="right" w:leader="dot" w:pos="10070"/>
            </w:tabs>
            <w:rPr>
              <w:noProof/>
            </w:rPr>
          </w:pPr>
          <w:hyperlink w:anchor="_Toc233126265" w:history="1">
            <w:r w:rsidRPr="00636760">
              <w:rPr>
                <w:rStyle w:val="Hyperlink"/>
                <w:noProof/>
              </w:rPr>
              <w:t>The Prevalence Research</w:t>
            </w:r>
            <w:r>
              <w:rPr>
                <w:noProof/>
              </w:rPr>
              <w:tab/>
            </w:r>
            <w:r>
              <w:rPr>
                <w:noProof/>
              </w:rPr>
              <w:fldChar w:fldCharType="begin"/>
            </w:r>
            <w:r>
              <w:rPr>
                <w:noProof/>
              </w:rPr>
              <w:instrText xml:space="preserve"> PAGEREF _Toc233126265 \h </w:instrText>
            </w:r>
            <w:r>
              <w:rPr>
                <w:noProof/>
              </w:rPr>
            </w:r>
            <w:r>
              <w:rPr>
                <w:noProof/>
              </w:rPr>
              <w:fldChar w:fldCharType="separate"/>
            </w:r>
            <w:r>
              <w:rPr>
                <w:noProof/>
              </w:rPr>
              <w:t>1</w:t>
            </w:r>
            <w:r>
              <w:rPr>
                <w:noProof/>
              </w:rPr>
              <w:fldChar w:fldCharType="end"/>
            </w:r>
          </w:hyperlink>
        </w:p>
        <w:p w14:paraId="657B6ECD" w14:textId="77777777" w:rsidR="00166F94" w:rsidRDefault="00166F94">
          <w:pPr>
            <w:pStyle w:val="TOC2"/>
            <w:tabs>
              <w:tab w:val="right" w:leader="dot" w:pos="10070"/>
            </w:tabs>
            <w:rPr>
              <w:noProof/>
            </w:rPr>
          </w:pPr>
          <w:hyperlink w:anchor="_Toc233126266" w:history="1">
            <w:r w:rsidRPr="00636760">
              <w:rPr>
                <w:rStyle w:val="Hyperlink"/>
                <w:noProof/>
              </w:rPr>
              <w:t>Confirmed at the Point of Service</w:t>
            </w:r>
            <w:r>
              <w:rPr>
                <w:noProof/>
              </w:rPr>
              <w:tab/>
            </w:r>
            <w:r>
              <w:rPr>
                <w:noProof/>
              </w:rPr>
              <w:fldChar w:fldCharType="begin"/>
            </w:r>
            <w:r>
              <w:rPr>
                <w:noProof/>
              </w:rPr>
              <w:instrText xml:space="preserve"> PAGEREF _Toc233126266 \h </w:instrText>
            </w:r>
            <w:r>
              <w:rPr>
                <w:noProof/>
              </w:rPr>
            </w:r>
            <w:r>
              <w:rPr>
                <w:noProof/>
              </w:rPr>
              <w:fldChar w:fldCharType="separate"/>
            </w:r>
            <w:r>
              <w:rPr>
                <w:noProof/>
              </w:rPr>
              <w:t>1</w:t>
            </w:r>
            <w:r>
              <w:rPr>
                <w:noProof/>
              </w:rPr>
              <w:fldChar w:fldCharType="end"/>
            </w:r>
          </w:hyperlink>
        </w:p>
        <w:p w14:paraId="4B56920D" w14:textId="77777777" w:rsidR="00166F94" w:rsidRDefault="00166F94">
          <w:pPr>
            <w:pStyle w:val="TOC2"/>
            <w:tabs>
              <w:tab w:val="right" w:leader="dot" w:pos="10070"/>
            </w:tabs>
            <w:rPr>
              <w:noProof/>
            </w:rPr>
          </w:pPr>
          <w:hyperlink w:anchor="_Toc233126267" w:history="1">
            <w:r w:rsidRPr="00636760">
              <w:rPr>
                <w:rStyle w:val="Hyperlink"/>
                <w:noProof/>
              </w:rPr>
              <w:t>Why This Injury Goes Unrecognized</w:t>
            </w:r>
            <w:r>
              <w:rPr>
                <w:noProof/>
              </w:rPr>
              <w:tab/>
            </w:r>
            <w:r>
              <w:rPr>
                <w:noProof/>
              </w:rPr>
              <w:fldChar w:fldCharType="begin"/>
            </w:r>
            <w:r>
              <w:rPr>
                <w:noProof/>
              </w:rPr>
              <w:instrText xml:space="preserve"> PAGEREF _Toc233126267 \h </w:instrText>
            </w:r>
            <w:r>
              <w:rPr>
                <w:noProof/>
              </w:rPr>
            </w:r>
            <w:r>
              <w:rPr>
                <w:noProof/>
              </w:rPr>
              <w:fldChar w:fldCharType="separate"/>
            </w:r>
            <w:r>
              <w:rPr>
                <w:noProof/>
              </w:rPr>
              <w:t>1</w:t>
            </w:r>
            <w:r>
              <w:rPr>
                <w:noProof/>
              </w:rPr>
              <w:fldChar w:fldCharType="end"/>
            </w:r>
          </w:hyperlink>
        </w:p>
        <w:p w14:paraId="532DE5EC" w14:textId="77777777" w:rsidR="00166F94" w:rsidRDefault="00166F94">
          <w:pPr>
            <w:pStyle w:val="TOC2"/>
            <w:tabs>
              <w:tab w:val="right" w:leader="dot" w:pos="10070"/>
            </w:tabs>
            <w:rPr>
              <w:noProof/>
            </w:rPr>
          </w:pPr>
          <w:hyperlink w:anchor="_Toc233126268" w:history="1">
            <w:r w:rsidRPr="00636760">
              <w:rPr>
                <w:rStyle w:val="Hyperlink"/>
                <w:noProof/>
              </w:rPr>
              <w:t>The Downstream Consequences</w:t>
            </w:r>
            <w:r>
              <w:rPr>
                <w:noProof/>
              </w:rPr>
              <w:tab/>
            </w:r>
            <w:r>
              <w:rPr>
                <w:noProof/>
              </w:rPr>
              <w:fldChar w:fldCharType="begin"/>
            </w:r>
            <w:r>
              <w:rPr>
                <w:noProof/>
              </w:rPr>
              <w:instrText xml:space="preserve"> PAGEREF _Toc233126268 \h </w:instrText>
            </w:r>
            <w:r>
              <w:rPr>
                <w:noProof/>
              </w:rPr>
            </w:r>
            <w:r>
              <w:rPr>
                <w:noProof/>
              </w:rPr>
              <w:fldChar w:fldCharType="separate"/>
            </w:r>
            <w:r>
              <w:rPr>
                <w:noProof/>
              </w:rPr>
              <w:t>1</w:t>
            </w:r>
            <w:r>
              <w:rPr>
                <w:noProof/>
              </w:rPr>
              <w:fldChar w:fldCharType="end"/>
            </w:r>
          </w:hyperlink>
        </w:p>
        <w:p w14:paraId="22DA697A" w14:textId="77777777" w:rsidR="00166F94" w:rsidRDefault="00166F94">
          <w:pPr>
            <w:pStyle w:val="TOC1"/>
            <w:tabs>
              <w:tab w:val="right" w:leader="dot" w:pos="10070"/>
            </w:tabs>
            <w:rPr>
              <w:noProof/>
            </w:rPr>
          </w:pPr>
          <w:hyperlink w:anchor="_Toc233126269" w:history="1">
            <w:r w:rsidRPr="00636760">
              <w:rPr>
                <w:rStyle w:val="Hyperlink"/>
                <w:noProof/>
              </w:rPr>
              <w:t>Part Three: The Same Wound Already Has a Treatment</w:t>
            </w:r>
            <w:r>
              <w:rPr>
                <w:noProof/>
              </w:rPr>
              <w:tab/>
            </w:r>
            <w:r>
              <w:rPr>
                <w:noProof/>
              </w:rPr>
              <w:fldChar w:fldCharType="begin"/>
            </w:r>
            <w:r>
              <w:rPr>
                <w:noProof/>
              </w:rPr>
              <w:instrText xml:space="preserve"> PAGEREF _Toc233126269 \h </w:instrText>
            </w:r>
            <w:r>
              <w:rPr>
                <w:noProof/>
              </w:rPr>
            </w:r>
            <w:r>
              <w:rPr>
                <w:noProof/>
              </w:rPr>
              <w:fldChar w:fldCharType="separate"/>
            </w:r>
            <w:r>
              <w:rPr>
                <w:noProof/>
              </w:rPr>
              <w:t>1</w:t>
            </w:r>
            <w:r>
              <w:rPr>
                <w:noProof/>
              </w:rPr>
              <w:fldChar w:fldCharType="end"/>
            </w:r>
          </w:hyperlink>
        </w:p>
        <w:p w14:paraId="300D1F86" w14:textId="77777777" w:rsidR="00166F94" w:rsidRDefault="00166F94">
          <w:pPr>
            <w:pStyle w:val="TOC2"/>
            <w:tabs>
              <w:tab w:val="right" w:leader="dot" w:pos="10070"/>
            </w:tabs>
            <w:rPr>
              <w:noProof/>
            </w:rPr>
          </w:pPr>
          <w:hyperlink w:anchor="_Toc233126270" w:history="1">
            <w:r w:rsidRPr="00636760">
              <w:rPr>
                <w:rStyle w:val="Hyperlink"/>
                <w:noProof/>
              </w:rPr>
              <w:t>From Veterans to Survivors: One Underlying Injury</w:t>
            </w:r>
            <w:r>
              <w:rPr>
                <w:noProof/>
              </w:rPr>
              <w:tab/>
            </w:r>
            <w:r>
              <w:rPr>
                <w:noProof/>
              </w:rPr>
              <w:fldChar w:fldCharType="begin"/>
            </w:r>
            <w:r>
              <w:rPr>
                <w:noProof/>
              </w:rPr>
              <w:instrText xml:space="preserve"> PAGEREF _Toc233126270 \h </w:instrText>
            </w:r>
            <w:r>
              <w:rPr>
                <w:noProof/>
              </w:rPr>
            </w:r>
            <w:r>
              <w:rPr>
                <w:noProof/>
              </w:rPr>
              <w:fldChar w:fldCharType="separate"/>
            </w:r>
            <w:r>
              <w:rPr>
                <w:noProof/>
              </w:rPr>
              <w:t>1</w:t>
            </w:r>
            <w:r>
              <w:rPr>
                <w:noProof/>
              </w:rPr>
              <w:fldChar w:fldCharType="end"/>
            </w:r>
          </w:hyperlink>
        </w:p>
        <w:p w14:paraId="027F25FC" w14:textId="77777777" w:rsidR="00166F94" w:rsidRDefault="00166F94">
          <w:pPr>
            <w:pStyle w:val="TOC2"/>
            <w:tabs>
              <w:tab w:val="right" w:leader="dot" w:pos="10070"/>
            </w:tabs>
            <w:rPr>
              <w:noProof/>
            </w:rPr>
          </w:pPr>
          <w:hyperlink w:anchor="_Toc233126271" w:history="1">
            <w:r w:rsidRPr="00636760">
              <w:rPr>
                <w:rStyle w:val="Hyperlink"/>
                <w:noProof/>
              </w:rPr>
              <w:t>The Existing Evidence Base</w:t>
            </w:r>
            <w:r>
              <w:rPr>
                <w:noProof/>
              </w:rPr>
              <w:tab/>
            </w:r>
            <w:r>
              <w:rPr>
                <w:noProof/>
              </w:rPr>
              <w:fldChar w:fldCharType="begin"/>
            </w:r>
            <w:r>
              <w:rPr>
                <w:noProof/>
              </w:rPr>
              <w:instrText xml:space="preserve"> PAGEREF _Toc233126271 \h </w:instrText>
            </w:r>
            <w:r>
              <w:rPr>
                <w:noProof/>
              </w:rPr>
            </w:r>
            <w:r>
              <w:rPr>
                <w:noProof/>
              </w:rPr>
              <w:fldChar w:fldCharType="separate"/>
            </w:r>
            <w:r>
              <w:rPr>
                <w:noProof/>
              </w:rPr>
              <w:t>1</w:t>
            </w:r>
            <w:r>
              <w:rPr>
                <w:noProof/>
              </w:rPr>
              <w:fldChar w:fldCharType="end"/>
            </w:r>
          </w:hyperlink>
        </w:p>
        <w:p w14:paraId="62E0E0E7" w14:textId="77777777" w:rsidR="00166F94" w:rsidRDefault="00166F94">
          <w:pPr>
            <w:pStyle w:val="TOC2"/>
            <w:tabs>
              <w:tab w:val="right" w:leader="dot" w:pos="10070"/>
            </w:tabs>
            <w:rPr>
              <w:noProof/>
            </w:rPr>
          </w:pPr>
          <w:hyperlink w:anchor="_Toc233126272" w:history="1">
            <w:r w:rsidRPr="00636760">
              <w:rPr>
                <w:rStyle w:val="Hyperlink"/>
                <w:noProof/>
              </w:rPr>
              <w:t>Why This Population Has Been Overlooked</w:t>
            </w:r>
            <w:r>
              <w:rPr>
                <w:noProof/>
              </w:rPr>
              <w:tab/>
            </w:r>
            <w:r>
              <w:rPr>
                <w:noProof/>
              </w:rPr>
              <w:fldChar w:fldCharType="begin"/>
            </w:r>
            <w:r>
              <w:rPr>
                <w:noProof/>
              </w:rPr>
              <w:instrText xml:space="preserve"> PAGEREF _Toc233126272 \h </w:instrText>
            </w:r>
            <w:r>
              <w:rPr>
                <w:noProof/>
              </w:rPr>
            </w:r>
            <w:r>
              <w:rPr>
                <w:noProof/>
              </w:rPr>
              <w:fldChar w:fldCharType="separate"/>
            </w:r>
            <w:r>
              <w:rPr>
                <w:noProof/>
              </w:rPr>
              <w:t>1</w:t>
            </w:r>
            <w:r>
              <w:rPr>
                <w:noProof/>
              </w:rPr>
              <w:fldChar w:fldCharType="end"/>
            </w:r>
          </w:hyperlink>
        </w:p>
        <w:p w14:paraId="6820EC23" w14:textId="77777777" w:rsidR="00166F94" w:rsidRDefault="00166F94">
          <w:pPr>
            <w:pStyle w:val="TOC1"/>
            <w:tabs>
              <w:tab w:val="right" w:leader="dot" w:pos="10070"/>
            </w:tabs>
            <w:rPr>
              <w:noProof/>
            </w:rPr>
          </w:pPr>
          <w:hyperlink w:anchor="_Toc233126273" w:history="1">
            <w:r w:rsidRPr="00636760">
              <w:rPr>
                <w:rStyle w:val="Hyperlink"/>
                <w:noProof/>
              </w:rPr>
              <w:t>Part Four: New York Has Shown the Country How to Start</w:t>
            </w:r>
            <w:r>
              <w:rPr>
                <w:noProof/>
              </w:rPr>
              <w:tab/>
            </w:r>
            <w:r>
              <w:rPr>
                <w:noProof/>
              </w:rPr>
              <w:fldChar w:fldCharType="begin"/>
            </w:r>
            <w:r>
              <w:rPr>
                <w:noProof/>
              </w:rPr>
              <w:instrText xml:space="preserve"> PAGEREF _Toc233126273 \h </w:instrText>
            </w:r>
            <w:r>
              <w:rPr>
                <w:noProof/>
              </w:rPr>
            </w:r>
            <w:r>
              <w:rPr>
                <w:noProof/>
              </w:rPr>
              <w:fldChar w:fldCharType="separate"/>
            </w:r>
            <w:r>
              <w:rPr>
                <w:noProof/>
              </w:rPr>
              <w:t>1</w:t>
            </w:r>
            <w:r>
              <w:rPr>
                <w:noProof/>
              </w:rPr>
              <w:fldChar w:fldCharType="end"/>
            </w:r>
          </w:hyperlink>
        </w:p>
        <w:p w14:paraId="520FF2F9" w14:textId="77777777" w:rsidR="00166F94" w:rsidRDefault="00166F94">
          <w:pPr>
            <w:pStyle w:val="TOC2"/>
            <w:tabs>
              <w:tab w:val="right" w:leader="dot" w:pos="10070"/>
            </w:tabs>
            <w:rPr>
              <w:noProof/>
            </w:rPr>
          </w:pPr>
          <w:hyperlink w:anchor="_Toc233126274" w:history="1">
            <w:r w:rsidRPr="00636760">
              <w:rPr>
                <w:rStyle w:val="Hyperlink"/>
                <w:noProof/>
              </w:rPr>
              <w:t>New York's 2024 Gender-Based Violence Data</w:t>
            </w:r>
            <w:r>
              <w:rPr>
                <w:noProof/>
              </w:rPr>
              <w:tab/>
            </w:r>
            <w:r>
              <w:rPr>
                <w:noProof/>
              </w:rPr>
              <w:fldChar w:fldCharType="begin"/>
            </w:r>
            <w:r>
              <w:rPr>
                <w:noProof/>
              </w:rPr>
              <w:instrText xml:space="preserve"> PAGEREF _Toc233126274 \h </w:instrText>
            </w:r>
            <w:r>
              <w:rPr>
                <w:noProof/>
              </w:rPr>
            </w:r>
            <w:r>
              <w:rPr>
                <w:noProof/>
              </w:rPr>
              <w:fldChar w:fldCharType="separate"/>
            </w:r>
            <w:r>
              <w:rPr>
                <w:noProof/>
              </w:rPr>
              <w:t>1</w:t>
            </w:r>
            <w:r>
              <w:rPr>
                <w:noProof/>
              </w:rPr>
              <w:fldChar w:fldCharType="end"/>
            </w:r>
          </w:hyperlink>
        </w:p>
        <w:p w14:paraId="48E928C0" w14:textId="77777777" w:rsidR="00166F94" w:rsidRDefault="00166F94">
          <w:pPr>
            <w:pStyle w:val="TOC2"/>
            <w:tabs>
              <w:tab w:val="right" w:leader="dot" w:pos="10070"/>
            </w:tabs>
            <w:rPr>
              <w:noProof/>
            </w:rPr>
          </w:pPr>
          <w:hyperlink w:anchor="_Toc233126275" w:history="1">
            <w:r w:rsidRPr="00636760">
              <w:rPr>
                <w:rStyle w:val="Hyperlink"/>
                <w:noProof/>
              </w:rPr>
              <w:t>The First State to Connect the Dots</w:t>
            </w:r>
            <w:r>
              <w:rPr>
                <w:noProof/>
              </w:rPr>
              <w:tab/>
            </w:r>
            <w:r>
              <w:rPr>
                <w:noProof/>
              </w:rPr>
              <w:fldChar w:fldCharType="begin"/>
            </w:r>
            <w:r>
              <w:rPr>
                <w:noProof/>
              </w:rPr>
              <w:instrText xml:space="preserve"> PAGEREF _Toc233126275 \h </w:instrText>
            </w:r>
            <w:r>
              <w:rPr>
                <w:noProof/>
              </w:rPr>
            </w:r>
            <w:r>
              <w:rPr>
                <w:noProof/>
              </w:rPr>
              <w:fldChar w:fldCharType="separate"/>
            </w:r>
            <w:r>
              <w:rPr>
                <w:noProof/>
              </w:rPr>
              <w:t>1</w:t>
            </w:r>
            <w:r>
              <w:rPr>
                <w:noProof/>
              </w:rPr>
              <w:fldChar w:fldCharType="end"/>
            </w:r>
          </w:hyperlink>
        </w:p>
        <w:p w14:paraId="33CD35FA" w14:textId="77777777" w:rsidR="00166F94" w:rsidRDefault="00166F94">
          <w:pPr>
            <w:pStyle w:val="TOC2"/>
            <w:tabs>
              <w:tab w:val="right" w:leader="dot" w:pos="10070"/>
            </w:tabs>
            <w:rPr>
              <w:noProof/>
            </w:rPr>
          </w:pPr>
          <w:hyperlink w:anchor="_Toc233126276" w:history="1">
            <w:r w:rsidRPr="00636760">
              <w:rPr>
                <w:rStyle w:val="Hyperlink"/>
                <w:noProof/>
              </w:rPr>
              <w:t>The Gap New York Has Not Yet Closed</w:t>
            </w:r>
            <w:r>
              <w:rPr>
                <w:noProof/>
              </w:rPr>
              <w:tab/>
            </w:r>
            <w:r>
              <w:rPr>
                <w:noProof/>
              </w:rPr>
              <w:fldChar w:fldCharType="begin"/>
            </w:r>
            <w:r>
              <w:rPr>
                <w:noProof/>
              </w:rPr>
              <w:instrText xml:space="preserve"> PAGEREF _Toc233126276 \h </w:instrText>
            </w:r>
            <w:r>
              <w:rPr>
                <w:noProof/>
              </w:rPr>
            </w:r>
            <w:r>
              <w:rPr>
                <w:noProof/>
              </w:rPr>
              <w:fldChar w:fldCharType="separate"/>
            </w:r>
            <w:r>
              <w:rPr>
                <w:noProof/>
              </w:rPr>
              <w:t>1</w:t>
            </w:r>
            <w:r>
              <w:rPr>
                <w:noProof/>
              </w:rPr>
              <w:fldChar w:fldCharType="end"/>
            </w:r>
          </w:hyperlink>
        </w:p>
        <w:p w14:paraId="629C84B2" w14:textId="77777777" w:rsidR="00166F94" w:rsidRDefault="00166F94">
          <w:pPr>
            <w:pStyle w:val="TOC1"/>
            <w:tabs>
              <w:tab w:val="right" w:leader="dot" w:pos="10070"/>
            </w:tabs>
            <w:rPr>
              <w:noProof/>
            </w:rPr>
          </w:pPr>
          <w:hyperlink w:anchor="_Toc233126277" w:history="1">
            <w:r w:rsidRPr="00636760">
              <w:rPr>
                <w:rStyle w:val="Hyperlink"/>
                <w:noProof/>
              </w:rPr>
              <w:t>Part Five: A National Policy Roadmap</w:t>
            </w:r>
            <w:r>
              <w:rPr>
                <w:noProof/>
              </w:rPr>
              <w:tab/>
            </w:r>
            <w:r>
              <w:rPr>
                <w:noProof/>
              </w:rPr>
              <w:fldChar w:fldCharType="begin"/>
            </w:r>
            <w:r>
              <w:rPr>
                <w:noProof/>
              </w:rPr>
              <w:instrText xml:space="preserve"> PAGEREF _Toc233126277 \h </w:instrText>
            </w:r>
            <w:r>
              <w:rPr>
                <w:noProof/>
              </w:rPr>
            </w:r>
            <w:r>
              <w:rPr>
                <w:noProof/>
              </w:rPr>
              <w:fldChar w:fldCharType="separate"/>
            </w:r>
            <w:r>
              <w:rPr>
                <w:noProof/>
              </w:rPr>
              <w:t>1</w:t>
            </w:r>
            <w:r>
              <w:rPr>
                <w:noProof/>
              </w:rPr>
              <w:fldChar w:fldCharType="end"/>
            </w:r>
          </w:hyperlink>
        </w:p>
        <w:p w14:paraId="299B8871" w14:textId="77777777" w:rsidR="00166F94" w:rsidRDefault="00166F94">
          <w:pPr>
            <w:pStyle w:val="TOC2"/>
            <w:tabs>
              <w:tab w:val="right" w:leader="dot" w:pos="10070"/>
            </w:tabs>
            <w:rPr>
              <w:noProof/>
            </w:rPr>
          </w:pPr>
          <w:hyperlink w:anchor="_Toc233126278" w:history="1">
            <w:r w:rsidRPr="00636760">
              <w:rPr>
                <w:rStyle w:val="Hyperlink"/>
                <w:noProof/>
              </w:rPr>
              <w:t>Recommendations for State and Local Policymakers</w:t>
            </w:r>
            <w:r>
              <w:rPr>
                <w:noProof/>
              </w:rPr>
              <w:tab/>
            </w:r>
            <w:r>
              <w:rPr>
                <w:noProof/>
              </w:rPr>
              <w:fldChar w:fldCharType="begin"/>
            </w:r>
            <w:r>
              <w:rPr>
                <w:noProof/>
              </w:rPr>
              <w:instrText xml:space="preserve"> PAGEREF _Toc233126278 \h </w:instrText>
            </w:r>
            <w:r>
              <w:rPr>
                <w:noProof/>
              </w:rPr>
            </w:r>
            <w:r>
              <w:rPr>
                <w:noProof/>
              </w:rPr>
              <w:fldChar w:fldCharType="separate"/>
            </w:r>
            <w:r>
              <w:rPr>
                <w:noProof/>
              </w:rPr>
              <w:t>1</w:t>
            </w:r>
            <w:r>
              <w:rPr>
                <w:noProof/>
              </w:rPr>
              <w:fldChar w:fldCharType="end"/>
            </w:r>
          </w:hyperlink>
        </w:p>
        <w:p w14:paraId="4ECE207B" w14:textId="77777777" w:rsidR="00166F94" w:rsidRDefault="00166F94">
          <w:pPr>
            <w:pStyle w:val="TOC2"/>
            <w:tabs>
              <w:tab w:val="right" w:leader="dot" w:pos="10070"/>
            </w:tabs>
            <w:rPr>
              <w:noProof/>
            </w:rPr>
          </w:pPr>
          <w:hyperlink w:anchor="_Toc233126279" w:history="1">
            <w:r w:rsidRPr="00636760">
              <w:rPr>
                <w:rStyle w:val="Hyperlink"/>
                <w:noProof/>
              </w:rPr>
              <w:t>Why Every State Should Act — Not Only New York</w:t>
            </w:r>
            <w:r>
              <w:rPr>
                <w:noProof/>
              </w:rPr>
              <w:tab/>
            </w:r>
            <w:r>
              <w:rPr>
                <w:noProof/>
              </w:rPr>
              <w:fldChar w:fldCharType="begin"/>
            </w:r>
            <w:r>
              <w:rPr>
                <w:noProof/>
              </w:rPr>
              <w:instrText xml:space="preserve"> PAGEREF _Toc233126279 \h </w:instrText>
            </w:r>
            <w:r>
              <w:rPr>
                <w:noProof/>
              </w:rPr>
            </w:r>
            <w:r>
              <w:rPr>
                <w:noProof/>
              </w:rPr>
              <w:fldChar w:fldCharType="separate"/>
            </w:r>
            <w:r>
              <w:rPr>
                <w:noProof/>
              </w:rPr>
              <w:t>1</w:t>
            </w:r>
            <w:r>
              <w:rPr>
                <w:noProof/>
              </w:rPr>
              <w:fldChar w:fldCharType="end"/>
            </w:r>
          </w:hyperlink>
        </w:p>
        <w:p w14:paraId="54C0E8D2" w14:textId="77777777" w:rsidR="00166F94" w:rsidRDefault="00166F94">
          <w:pPr>
            <w:pStyle w:val="TOC1"/>
            <w:tabs>
              <w:tab w:val="right" w:leader="dot" w:pos="10070"/>
            </w:tabs>
            <w:rPr>
              <w:noProof/>
            </w:rPr>
          </w:pPr>
          <w:hyperlink w:anchor="_Toc233126280" w:history="1">
            <w:r w:rsidRPr="00636760">
              <w:rPr>
                <w:rStyle w:val="Hyperlink"/>
                <w:noProof/>
              </w:rPr>
              <w:t>Part Six: A National Partnership Landscape</w:t>
            </w:r>
            <w:r>
              <w:rPr>
                <w:noProof/>
              </w:rPr>
              <w:tab/>
            </w:r>
            <w:r>
              <w:rPr>
                <w:noProof/>
              </w:rPr>
              <w:fldChar w:fldCharType="begin"/>
            </w:r>
            <w:r>
              <w:rPr>
                <w:noProof/>
              </w:rPr>
              <w:instrText xml:space="preserve"> PAGEREF _Toc233126280 \h </w:instrText>
            </w:r>
            <w:r>
              <w:rPr>
                <w:noProof/>
              </w:rPr>
            </w:r>
            <w:r>
              <w:rPr>
                <w:noProof/>
              </w:rPr>
              <w:fldChar w:fldCharType="separate"/>
            </w:r>
            <w:r>
              <w:rPr>
                <w:noProof/>
              </w:rPr>
              <w:t>1</w:t>
            </w:r>
            <w:r>
              <w:rPr>
                <w:noProof/>
              </w:rPr>
              <w:fldChar w:fldCharType="end"/>
            </w:r>
          </w:hyperlink>
        </w:p>
        <w:p w14:paraId="07B0ADD7" w14:textId="77777777" w:rsidR="00166F94" w:rsidRDefault="00166F94">
          <w:pPr>
            <w:pStyle w:val="TOC2"/>
            <w:tabs>
              <w:tab w:val="right" w:leader="dot" w:pos="10070"/>
            </w:tabs>
            <w:rPr>
              <w:noProof/>
            </w:rPr>
          </w:pPr>
          <w:hyperlink w:anchor="_Toc233126281" w:history="1">
            <w:r w:rsidRPr="00636760">
              <w:rPr>
                <w:rStyle w:val="Hyperlink"/>
                <w:noProof/>
              </w:rPr>
              <w:t>Reading the Landscape</w:t>
            </w:r>
            <w:r>
              <w:rPr>
                <w:noProof/>
              </w:rPr>
              <w:tab/>
            </w:r>
            <w:r>
              <w:rPr>
                <w:noProof/>
              </w:rPr>
              <w:fldChar w:fldCharType="begin"/>
            </w:r>
            <w:r>
              <w:rPr>
                <w:noProof/>
              </w:rPr>
              <w:instrText xml:space="preserve"> PAGEREF _Toc233126281 \h </w:instrText>
            </w:r>
            <w:r>
              <w:rPr>
                <w:noProof/>
              </w:rPr>
            </w:r>
            <w:r>
              <w:rPr>
                <w:noProof/>
              </w:rPr>
              <w:fldChar w:fldCharType="separate"/>
            </w:r>
            <w:r>
              <w:rPr>
                <w:noProof/>
              </w:rPr>
              <w:t>1</w:t>
            </w:r>
            <w:r>
              <w:rPr>
                <w:noProof/>
              </w:rPr>
              <w:fldChar w:fldCharType="end"/>
            </w:r>
          </w:hyperlink>
        </w:p>
        <w:p w14:paraId="2009B3A6" w14:textId="77777777" w:rsidR="00166F94" w:rsidRDefault="00166F94">
          <w:pPr>
            <w:pStyle w:val="TOC1"/>
            <w:tabs>
              <w:tab w:val="right" w:leader="dot" w:pos="10070"/>
            </w:tabs>
            <w:rPr>
              <w:noProof/>
            </w:rPr>
          </w:pPr>
          <w:hyperlink w:anchor="_Toc233126282" w:history="1">
            <w:r w:rsidRPr="00636760">
              <w:rPr>
                <w:rStyle w:val="Hyperlink"/>
                <w:noProof/>
              </w:rPr>
              <w:t>Selected Sources</w:t>
            </w:r>
            <w:r>
              <w:rPr>
                <w:noProof/>
              </w:rPr>
              <w:tab/>
            </w:r>
            <w:r>
              <w:rPr>
                <w:noProof/>
              </w:rPr>
              <w:fldChar w:fldCharType="begin"/>
            </w:r>
            <w:r>
              <w:rPr>
                <w:noProof/>
              </w:rPr>
              <w:instrText xml:space="preserve"> PAGEREF _Toc233126282 \h </w:instrText>
            </w:r>
            <w:r>
              <w:rPr>
                <w:noProof/>
              </w:rPr>
            </w:r>
            <w:r>
              <w:rPr>
                <w:noProof/>
              </w:rPr>
              <w:fldChar w:fldCharType="separate"/>
            </w:r>
            <w:r>
              <w:rPr>
                <w:noProof/>
              </w:rPr>
              <w:t>1</w:t>
            </w:r>
            <w:r>
              <w:rPr>
                <w:noProof/>
              </w:rPr>
              <w:fldChar w:fldCharType="end"/>
            </w:r>
          </w:hyperlink>
        </w:p>
        <w:p w14:paraId="2F3DB708" w14:textId="77777777" w:rsidR="00C65EA5" w:rsidRDefault="00000000">
          <w:r>
            <w:fldChar w:fldCharType="end"/>
          </w:r>
        </w:p>
      </w:sdtContent>
    </w:sdt>
    <w:p w14:paraId="6DA36B92" w14:textId="77777777" w:rsidR="00C65EA5" w:rsidRDefault="00000000">
      <w:r>
        <w:br w:type="page"/>
      </w:r>
    </w:p>
    <w:p w14:paraId="3162ACB0" w14:textId="77777777" w:rsidR="00C65EA5" w:rsidRDefault="00000000">
      <w:pPr>
        <w:pStyle w:val="Heading1"/>
        <w:keepNext/>
        <w:pBdr>
          <w:bottom w:val="single" w:sz="8" w:space="4" w:color="1B3A5C"/>
        </w:pBdr>
      </w:pPr>
      <w:bookmarkStart w:id="1" w:name="_Toc233126260"/>
      <w:r>
        <w:lastRenderedPageBreak/>
        <w:t>Executive Summary</w:t>
      </w:r>
      <w:bookmarkEnd w:id="1"/>
    </w:p>
    <w:p w14:paraId="31879E1A" w14:textId="77777777" w:rsidR="00C65EA5" w:rsidRDefault="00000000">
      <w:pPr>
        <w:spacing w:after="160" w:line="276" w:lineRule="auto"/>
      </w:pPr>
      <w:r>
        <w:t>Domestic violence and intimate partner violence (IPV) are widely understood in the United States as crimes, as public health emergencies, and as drivers of profound psychological harm. What is far less understood — by the public, by most clinicians, and by the systems meant to protect survivors — is that physical IPV is also one of the leading and least-recognized causes of traumatic brain injury (TBI) in the country.</w:t>
      </w:r>
    </w:p>
    <w:p w14:paraId="3AC90DD5" w14:textId="77777777" w:rsidR="00C65EA5" w:rsidRDefault="00000000">
      <w:pPr>
        <w:spacing w:after="160" w:line="276" w:lineRule="auto"/>
      </w:pPr>
      <w:r>
        <w:t>A growing body of peer-reviewed research, summarized in this paper, finds that 75% to 80% of survivors who experience physical intimate partner violence sustain one or more traumatic brain injuries over the course of their abuse — from blows to the head, from being thrown against walls or furniture, and from strangulation, which deprives the brain of oxygen and produces a related but distinct hypoxic-anoxic brain injury. Researchers estimate that the number of brain injuries sustained by domestic violence survivors each year may rival or exceed the combined annual totals from military combat and contact sports — yet this population receives almost none of the screening, diagnosis, or treatment infrastructure built around those better-known groups.</w:t>
      </w:r>
    </w:p>
    <w:p w14:paraId="4E247BAB" w14:textId="77777777" w:rsidR="00C65EA5" w:rsidRDefault="00000000">
      <w:pPr>
        <w:spacing w:after="160" w:line="276" w:lineRule="auto"/>
      </w:pPr>
      <w:r>
        <w:t>This is not a new form of brain injury. It is the same wound — the same diffuse axonal shearing, the same oxygen-deprivation cascade, the same downstream cognitive and psychiatric consequences — that the TreatNOW Coalition has spent over a decade documenting in combat veterans, and that a growing evidence base of 29 peer-reviewed studies supports treating with hyperbaric oxygen therapy (HBOT). The population is different. The mechanism of injury is different. The underlying physical injury, and the physiological case for treating it, are the same.</w:t>
      </w:r>
    </w:p>
    <w:p w14:paraId="68A94069" w14:textId="77777777" w:rsidR="00C65EA5" w:rsidRDefault="00000000">
      <w:pPr>
        <w:spacing w:after="160" w:line="276" w:lineRule="auto"/>
      </w:pPr>
      <w:r>
        <w:t>In 2024, New York became the first state in the nation to formally name this connection in law and policy, through New York City Council legislation requiring first-responder and provider training on the domestic violence–TBI link, and through the country's first TBI screening program embedded directly in domestic violence shelters. New York's own data confirms what the research literature has found nationally: the great majority of DV survivors who present to shelters and justice centers carry an undiagnosed brain injury. New York named the clinical problem. It did not yet name a treatment. That gap — the space between diagnosis and treatment — is the opening this paper addresses, and the opportunity for every state that follows New York's lead.</w:t>
      </w:r>
    </w:p>
    <w:tbl>
      <w:tblPr>
        <w:tblW w:w="10080" w:type="dxa"/>
        <w:tblBorders>
          <w:top w:val="single" w:sz="1" w:space="0" w:color="F2F5F8"/>
          <w:left w:val="single" w:sz="24" w:space="0" w:color="1B3A5C"/>
          <w:bottom w:val="single" w:sz="1" w:space="0" w:color="F2F5F8"/>
          <w:right w:val="single" w:sz="1" w:space="0" w:color="F2F5F8"/>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65EA5" w14:paraId="21CCD89E" w14:textId="77777777">
        <w:tblPrEx>
          <w:tblCellMar>
            <w:top w:w="0" w:type="dxa"/>
            <w:bottom w:w="0" w:type="dxa"/>
          </w:tblCellMar>
        </w:tblPrEx>
        <w:tc>
          <w:tcPr>
            <w:tcW w:w="10080" w:type="dxa"/>
            <w:shd w:val="clear" w:color="auto" w:fill="F2F5F8"/>
            <w:tcMar>
              <w:top w:w="160" w:type="dxa"/>
              <w:left w:w="220" w:type="dxa"/>
              <w:bottom w:w="160" w:type="dxa"/>
              <w:right w:w="220" w:type="dxa"/>
            </w:tcMar>
          </w:tcPr>
          <w:p w14:paraId="4018EE8F" w14:textId="77777777" w:rsidR="00C65EA5" w:rsidRDefault="00000000">
            <w:pPr>
              <w:spacing w:after="80"/>
            </w:pPr>
            <w:r>
              <w:rPr>
                <w:b/>
                <w:bCs/>
                <w:color w:val="1B3A5C"/>
              </w:rPr>
              <w:t>What This Paper Argues</w:t>
            </w:r>
          </w:p>
          <w:p w14:paraId="1784CBCD" w14:textId="77777777" w:rsidR="00C65EA5" w:rsidRDefault="00000000">
            <w:pPr>
              <w:spacing w:after="100" w:line="270" w:lineRule="auto"/>
            </w:pPr>
            <w:r>
              <w:rPr>
                <w:b/>
                <w:bCs/>
                <w:color w:val="1B3A5C"/>
                <w:sz w:val="20"/>
                <w:szCs w:val="20"/>
              </w:rPr>
              <w:t xml:space="preserve">1. </w:t>
            </w:r>
            <w:r>
              <w:rPr>
                <w:sz w:val="20"/>
                <w:szCs w:val="20"/>
              </w:rPr>
              <w:t xml:space="preserve">TBI from domestic violence is a national public health crisis on a scale comparable to — and in raw </w:t>
            </w:r>
            <w:proofErr w:type="gramStart"/>
            <w:r>
              <w:rPr>
                <w:sz w:val="20"/>
                <w:szCs w:val="20"/>
              </w:rPr>
              <w:t>numbers</w:t>
            </w:r>
            <w:proofErr w:type="gramEnd"/>
            <w:r>
              <w:rPr>
                <w:sz w:val="20"/>
                <w:szCs w:val="20"/>
              </w:rPr>
              <w:t xml:space="preserve"> likely larger than — the veteran and athletic TBI populations that have driven most public attention and research funding to date.</w:t>
            </w:r>
          </w:p>
          <w:p w14:paraId="5C8B47DF" w14:textId="77777777" w:rsidR="00C65EA5" w:rsidRDefault="00000000">
            <w:pPr>
              <w:spacing w:after="100" w:line="270" w:lineRule="auto"/>
            </w:pPr>
            <w:r>
              <w:rPr>
                <w:b/>
                <w:bCs/>
                <w:color w:val="1B3A5C"/>
                <w:sz w:val="20"/>
                <w:szCs w:val="20"/>
              </w:rPr>
              <w:t xml:space="preserve">2. </w:t>
            </w:r>
            <w:r>
              <w:rPr>
                <w:sz w:val="20"/>
                <w:szCs w:val="20"/>
              </w:rPr>
              <w:t>This brain injury is almost never screened for, almost never diagnosed, and almost never treated as a physical wound — it is instead absorbed into psychiatric diagnoses like PTSD and depression, which describe the survivor's symptoms but do not address the underlying physical injury.</w:t>
            </w:r>
          </w:p>
          <w:p w14:paraId="66510C07" w14:textId="77777777" w:rsidR="00C65EA5" w:rsidRDefault="00000000">
            <w:pPr>
              <w:spacing w:after="100" w:line="270" w:lineRule="auto"/>
            </w:pPr>
            <w:r>
              <w:rPr>
                <w:b/>
                <w:bCs/>
                <w:color w:val="1B3A5C"/>
                <w:sz w:val="20"/>
                <w:szCs w:val="20"/>
              </w:rPr>
              <w:t xml:space="preserve">3. </w:t>
            </w:r>
            <w:r>
              <w:rPr>
                <w:sz w:val="20"/>
                <w:szCs w:val="20"/>
              </w:rPr>
              <w:t>Hyperbaric oxygen therapy, supported by a substantial and growing body of peer-reviewed research in TBI populations, is the most directly applicable treatment available for the physical brain injury at the center of this crisis — and is not currently part of the policy conversation in any state, including New York.</w:t>
            </w:r>
          </w:p>
          <w:p w14:paraId="4E475676" w14:textId="77777777" w:rsidR="00C65EA5" w:rsidRDefault="00000000">
            <w:pPr>
              <w:spacing w:line="270" w:lineRule="auto"/>
            </w:pPr>
            <w:r>
              <w:rPr>
                <w:b/>
                <w:bCs/>
                <w:color w:val="1B3A5C"/>
                <w:sz w:val="20"/>
                <w:szCs w:val="20"/>
              </w:rPr>
              <w:t xml:space="preserve">4. </w:t>
            </w:r>
            <w:r>
              <w:rPr>
                <w:sz w:val="20"/>
                <w:szCs w:val="20"/>
              </w:rPr>
              <w:t>New York's 2024 legislative and screening initiatives provide a proven, replicable model. Every state can adopt a version of New York's approach — and should go one step further by writing HBOT access into the treatment pathway from the start.</w:t>
            </w:r>
          </w:p>
        </w:tc>
      </w:tr>
    </w:tbl>
    <w:p w14:paraId="4A9EE084" w14:textId="77777777" w:rsidR="00C65EA5" w:rsidRDefault="00000000">
      <w:pPr>
        <w:pStyle w:val="Heading1"/>
        <w:keepNext/>
        <w:pBdr>
          <w:bottom w:val="single" w:sz="8" w:space="4" w:color="1B3A5C"/>
        </w:pBdr>
      </w:pPr>
      <w:bookmarkStart w:id="2" w:name="_Toc233126261"/>
      <w:r>
        <w:lastRenderedPageBreak/>
        <w:t>Part One: The National Scale of the Crisis</w:t>
      </w:r>
      <w:bookmarkEnd w:id="2"/>
    </w:p>
    <w:p w14:paraId="4C180DDB" w14:textId="77777777" w:rsidR="00C65EA5" w:rsidRDefault="00000000">
      <w:pPr>
        <w:pStyle w:val="Heading2"/>
        <w:keepNext/>
      </w:pPr>
      <w:bookmarkStart w:id="3" w:name="_Toc233126262"/>
      <w:r>
        <w:t>How Many Americans Are Affected</w:t>
      </w:r>
      <w:bookmarkEnd w:id="3"/>
    </w:p>
    <w:p w14:paraId="51D86599" w14:textId="77777777" w:rsidR="00C65EA5" w:rsidRDefault="00000000">
      <w:pPr>
        <w:spacing w:after="160" w:line="276" w:lineRule="auto"/>
      </w:pPr>
      <w:r>
        <w:t>The Centers for Disease Control and Prevention's National Intimate Partner and Sexual Violence Survey (NISVS) is the federal government's primary tool for measuring the prevalence of intimate partner violence nationwide. Its most recent data brief, drawn from a nationally representative survey conducted between September 2023 and September 2024, finds that more than one in three women in the United States — roughly 43.5 million — have experienced contact sexual violence, physical violence, and/or stalking by an intimate partner at some point in their lives.</w:t>
      </w:r>
    </w:p>
    <w:tbl>
      <w:tblPr>
        <w:tblW w:w="1008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360"/>
        <w:gridCol w:w="3360"/>
        <w:gridCol w:w="3360"/>
      </w:tblGrid>
      <w:tr w:rsidR="00C65EA5" w14:paraId="1A8687B2" w14:textId="77777777">
        <w:tblPrEx>
          <w:tblCellMar>
            <w:top w:w="0" w:type="dxa"/>
            <w:bottom w:w="0" w:type="dxa"/>
          </w:tblCellMar>
        </w:tblPrEx>
        <w:tc>
          <w:tcPr>
            <w:tcW w:w="3360" w:type="dxa"/>
            <w:shd w:val="clear" w:color="auto" w:fill="FBEAEC"/>
            <w:tcMar>
              <w:top w:w="180" w:type="dxa"/>
              <w:left w:w="160" w:type="dxa"/>
              <w:bottom w:w="180" w:type="dxa"/>
              <w:right w:w="160" w:type="dxa"/>
            </w:tcMar>
            <w:vAlign w:val="center"/>
          </w:tcPr>
          <w:p w14:paraId="75BE6CA8" w14:textId="77777777" w:rsidR="00C65EA5" w:rsidRDefault="00000000">
            <w:pPr>
              <w:spacing w:after="60"/>
              <w:jc w:val="center"/>
            </w:pPr>
            <w:r>
              <w:rPr>
                <w:b/>
                <w:bCs/>
                <w:color w:val="B0202A"/>
                <w:sz w:val="40"/>
                <w:szCs w:val="40"/>
              </w:rPr>
              <w:t>34.0%</w:t>
            </w:r>
          </w:p>
          <w:p w14:paraId="255B4D36" w14:textId="77777777" w:rsidR="00C65EA5" w:rsidRDefault="00000000">
            <w:pPr>
              <w:jc w:val="center"/>
            </w:pPr>
            <w:r>
              <w:rPr>
                <w:b/>
                <w:bCs/>
                <w:color w:val="595959"/>
                <w:sz w:val="17"/>
                <w:szCs w:val="17"/>
              </w:rPr>
              <w:t>OF U.S. WOMEN</w:t>
            </w:r>
          </w:p>
          <w:p w14:paraId="3AADE4EA" w14:textId="77777777" w:rsidR="00C65EA5" w:rsidRDefault="00000000">
            <w:pPr>
              <w:spacing w:before="40"/>
              <w:jc w:val="center"/>
            </w:pPr>
            <w:r>
              <w:rPr>
                <w:i/>
                <w:iCs/>
                <w:color w:val="8C8C8C"/>
                <w:sz w:val="15"/>
                <w:szCs w:val="15"/>
              </w:rPr>
              <w:t>experienced IPV in their lifetime</w:t>
            </w:r>
          </w:p>
        </w:tc>
        <w:tc>
          <w:tcPr>
            <w:tcW w:w="3360" w:type="dxa"/>
            <w:shd w:val="clear" w:color="auto" w:fill="F2F5F8"/>
            <w:tcMar>
              <w:top w:w="180" w:type="dxa"/>
              <w:left w:w="160" w:type="dxa"/>
              <w:bottom w:w="180" w:type="dxa"/>
              <w:right w:w="160" w:type="dxa"/>
            </w:tcMar>
            <w:vAlign w:val="center"/>
          </w:tcPr>
          <w:p w14:paraId="3C33A5BF" w14:textId="77777777" w:rsidR="00C65EA5" w:rsidRDefault="00000000">
            <w:pPr>
              <w:spacing w:after="60"/>
              <w:jc w:val="center"/>
            </w:pPr>
            <w:r>
              <w:rPr>
                <w:b/>
                <w:bCs/>
                <w:color w:val="1B3A5C"/>
                <w:sz w:val="40"/>
                <w:szCs w:val="40"/>
              </w:rPr>
              <w:t>43.5M</w:t>
            </w:r>
          </w:p>
          <w:p w14:paraId="246A67D4" w14:textId="77777777" w:rsidR="00C65EA5" w:rsidRDefault="00000000">
            <w:pPr>
              <w:jc w:val="center"/>
            </w:pPr>
            <w:r>
              <w:rPr>
                <w:b/>
                <w:bCs/>
                <w:color w:val="595959"/>
                <w:sz w:val="17"/>
                <w:szCs w:val="17"/>
              </w:rPr>
              <w:t>WOMEN AFFECTED</w:t>
            </w:r>
          </w:p>
          <w:p w14:paraId="211E08E2" w14:textId="77777777" w:rsidR="00C65EA5" w:rsidRDefault="00000000">
            <w:pPr>
              <w:spacing w:before="40"/>
              <w:jc w:val="center"/>
            </w:pPr>
            <w:r>
              <w:rPr>
                <w:i/>
                <w:iCs/>
                <w:color w:val="8C8C8C"/>
                <w:sz w:val="15"/>
                <w:szCs w:val="15"/>
              </w:rPr>
              <w:t>lifetime IPV (contact SV, physical violence, or stalking)</w:t>
            </w:r>
          </w:p>
        </w:tc>
        <w:tc>
          <w:tcPr>
            <w:tcW w:w="3360" w:type="dxa"/>
            <w:shd w:val="clear" w:color="auto" w:fill="FCF3DC"/>
            <w:tcMar>
              <w:top w:w="180" w:type="dxa"/>
              <w:left w:w="160" w:type="dxa"/>
              <w:bottom w:w="180" w:type="dxa"/>
              <w:right w:w="160" w:type="dxa"/>
            </w:tcMar>
            <w:vAlign w:val="center"/>
          </w:tcPr>
          <w:p w14:paraId="184789EA" w14:textId="77777777" w:rsidR="00C65EA5" w:rsidRDefault="00000000">
            <w:pPr>
              <w:spacing w:after="60"/>
              <w:jc w:val="center"/>
            </w:pPr>
            <w:r>
              <w:rPr>
                <w:b/>
                <w:bCs/>
                <w:color w:val="8A6D1A"/>
                <w:sz w:val="40"/>
                <w:szCs w:val="40"/>
              </w:rPr>
              <w:t>$3.6T</w:t>
            </w:r>
          </w:p>
          <w:p w14:paraId="0B82983F" w14:textId="77777777" w:rsidR="00C65EA5" w:rsidRDefault="00000000">
            <w:pPr>
              <w:jc w:val="center"/>
            </w:pPr>
            <w:r>
              <w:rPr>
                <w:b/>
                <w:bCs/>
                <w:color w:val="595959"/>
                <w:sz w:val="17"/>
                <w:szCs w:val="17"/>
              </w:rPr>
              <w:t>ESTIMATED COST</w:t>
            </w:r>
          </w:p>
          <w:p w14:paraId="2C17723E" w14:textId="77777777" w:rsidR="00C65EA5" w:rsidRDefault="00000000">
            <w:pPr>
              <w:spacing w:before="40"/>
              <w:jc w:val="center"/>
            </w:pPr>
            <w:r>
              <w:rPr>
                <w:i/>
                <w:iCs/>
                <w:color w:val="8C8C8C"/>
                <w:sz w:val="15"/>
                <w:szCs w:val="15"/>
              </w:rPr>
              <w:t>lifetime economic burden of IPV, nationally</w:t>
            </w:r>
          </w:p>
        </w:tc>
      </w:tr>
    </w:tbl>
    <w:p w14:paraId="361082F8" w14:textId="77777777" w:rsidR="00C65EA5" w:rsidRDefault="00000000">
      <w:pPr>
        <w:spacing w:before="60" w:after="200"/>
      </w:pPr>
      <w:r>
        <w:rPr>
          <w:i/>
          <w:iCs/>
          <w:color w:val="8C8C8C"/>
          <w:sz w:val="15"/>
          <w:szCs w:val="15"/>
        </w:rPr>
        <w:t>Source: CDC, National Intimate Partner and Sexual Violence Survey (NISVS), 2023/2024 Intimate Partner Violence Data Brief.</w:t>
      </w:r>
    </w:p>
    <w:p w14:paraId="327D2CA0" w14:textId="77777777" w:rsidR="00C65EA5" w:rsidRDefault="00000000">
      <w:pPr>
        <w:spacing w:after="200" w:line="276" w:lineRule="auto"/>
      </w:pPr>
      <w:r>
        <w:t>These are lifetime prevalence figures from a public health survey, not law enforcement counts — and they are widely considered conservative, since IPV is persistently underreported to both researchers and authorities. The CDC brief separately finds that IPV imposes a lifetime cost of approximately $103,767 per female victim and $23,414 per male victim, for a national total approaching $3.6 trillion — a figure that captures medical care, lost productivity, and criminal justice costs, but does not capture the long-term cost of untreated brain injury addressed in this paper.</w:t>
      </w:r>
    </w:p>
    <w:p w14:paraId="0725C960" w14:textId="77777777" w:rsidR="00C65EA5" w:rsidRDefault="00000000">
      <w:pPr>
        <w:pStyle w:val="Heading3"/>
        <w:keepNext/>
      </w:pPr>
      <w:r>
        <w:t>Disparities Within the Crisis</w:t>
      </w:r>
    </w:p>
    <w:p w14:paraId="4FAB13C8" w14:textId="77777777" w:rsidR="00C65EA5" w:rsidRDefault="00000000">
      <w:pPr>
        <w:spacing w:after="200" w:line="276" w:lineRule="auto"/>
      </w:pPr>
      <w:r>
        <w:t>IPV does not distribute evenly across the population. Women experience IPV, and especially severe and repeated forms of physical IPV, at substantially higher rates than men, and certain groups of women bear a disproportionate share of the burden. National survey data finds non-Hispanic Black women have a lifetime IPV prevalence around 53.6%, and women with disabilities are substantially more likely than non-disabled women to report nearly every category of IPV victimization measured, including physical violence and stalking. Multiracial and American Indian/Alaska Native women report the highest lifetime exposure of any racial or ethnic group, exceeding 57%.</w:t>
      </w:r>
    </w:p>
    <w:p w14:paraId="7122CA6D" w14:textId="77777777" w:rsidR="00C65EA5" w:rsidRDefault="00000000">
      <w:pPr>
        <w:pStyle w:val="Heading2"/>
        <w:keepNext/>
      </w:pPr>
      <w:bookmarkStart w:id="4" w:name="_Toc233126263"/>
      <w:r>
        <w:t>Strangulation: The Most Dangerous and Most Overlooked Form of Physical IPV</w:t>
      </w:r>
      <w:bookmarkEnd w:id="4"/>
    </w:p>
    <w:p w14:paraId="5EBCB194" w14:textId="77777777" w:rsidR="00C65EA5" w:rsidRDefault="00000000">
      <w:pPr>
        <w:spacing w:after="160" w:line="276" w:lineRule="auto"/>
      </w:pPr>
      <w:r>
        <w:t>Strangulation is one of the most common and most lethal forms of physical violence within abusive relationships, and it is the single clearest bridge between domestic violence and brain injury. Unlike a blow to the head, strangulation does not require visible trauma to cause catastrophic harm — it can produce permanent brain injury or death within minutes while leaving no external marks at all, which is part of why it is so rarely identified, charted, or prosecuted as the serious injury it is.</w:t>
      </w:r>
    </w:p>
    <w:p w14:paraId="07F56FE2" w14:textId="77777777" w:rsidR="00C65EA5" w:rsidRDefault="00000000">
      <w:pPr>
        <w:spacing w:after="200" w:line="276" w:lineRule="auto"/>
      </w:pPr>
      <w:r>
        <w:t>Studies of women presenting to domestic violence shelters and emergency departments have found strangulation prevalence ranging from roughly 58% to 68% of survivors, and in some service-seeking populations, over 80% report having been choked or strangled by a partner at some point. A retrospective review of survivors evaluated through a standardized strangulation-injury assessment tool found that nearly half could not consciously recall losing consciousness during a strangulation event, yet still reported the physiological symptoms — confusion, memory gaps, disorientation — consistent with a hypoxic brain injury they never knew they had.</w:t>
      </w:r>
    </w:p>
    <w:tbl>
      <w:tblPr>
        <w:tblW w:w="10080" w:type="dxa"/>
        <w:tblBorders>
          <w:top w:val="single" w:sz="1" w:space="0" w:color="FCF3DC"/>
          <w:left w:val="single" w:sz="24" w:space="0" w:color="8A6D1A"/>
          <w:bottom w:val="single" w:sz="1" w:space="0" w:color="FCF3DC"/>
          <w:right w:val="single" w:sz="1" w:space="0" w:color="FCF3D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65EA5" w14:paraId="58540482" w14:textId="77777777">
        <w:tblPrEx>
          <w:tblCellMar>
            <w:top w:w="0" w:type="dxa"/>
            <w:bottom w:w="0" w:type="dxa"/>
          </w:tblCellMar>
        </w:tblPrEx>
        <w:tc>
          <w:tcPr>
            <w:tcW w:w="10080" w:type="dxa"/>
            <w:shd w:val="clear" w:color="auto" w:fill="FCF3DC"/>
            <w:tcMar>
              <w:top w:w="160" w:type="dxa"/>
              <w:left w:w="220" w:type="dxa"/>
              <w:bottom w:w="160" w:type="dxa"/>
              <w:right w:w="220" w:type="dxa"/>
            </w:tcMar>
          </w:tcPr>
          <w:p w14:paraId="6DD1E0E7" w14:textId="77777777" w:rsidR="00C65EA5" w:rsidRDefault="00000000">
            <w:pPr>
              <w:spacing w:after="80"/>
            </w:pPr>
            <w:r>
              <w:rPr>
                <w:b/>
                <w:bCs/>
                <w:color w:val="8A6D1A"/>
              </w:rPr>
              <w:lastRenderedPageBreak/>
              <w:t>Two Mechanisms, One Wound</w:t>
            </w:r>
          </w:p>
          <w:p w14:paraId="27ADF9C7" w14:textId="77777777" w:rsidR="00C65EA5" w:rsidRDefault="00000000">
            <w:pPr>
              <w:spacing w:line="270" w:lineRule="auto"/>
            </w:pPr>
            <w:r>
              <w:rPr>
                <w:sz w:val="20"/>
                <w:szCs w:val="20"/>
              </w:rPr>
              <w:t>Domestic violence produces brain injury through two related but distinct pathways. The first is traditional traumatic brain injury (</w:t>
            </w:r>
            <w:proofErr w:type="gramStart"/>
            <w:r>
              <w:rPr>
                <w:sz w:val="20"/>
                <w:szCs w:val="20"/>
              </w:rPr>
              <w:t>TBI) —</w:t>
            </w:r>
            <w:proofErr w:type="gramEnd"/>
            <w:r>
              <w:rPr>
                <w:sz w:val="20"/>
                <w:szCs w:val="20"/>
              </w:rPr>
              <w:t xml:space="preserve"> a blow, jolt, or impact to the head from a fist, an object, a wall, or the floor, producing the same shearing and bruising injuries seen in falls, car crashes, and sports concussions. The second is hypoxic-anoxic brain injury (</w:t>
            </w:r>
            <w:proofErr w:type="gramStart"/>
            <w:r>
              <w:rPr>
                <w:sz w:val="20"/>
                <w:szCs w:val="20"/>
              </w:rPr>
              <w:t>HAI) —</w:t>
            </w:r>
            <w:proofErr w:type="gramEnd"/>
            <w:r>
              <w:rPr>
                <w:sz w:val="20"/>
                <w:szCs w:val="20"/>
              </w:rPr>
              <w:t xml:space="preserve"> oxygen deprivation to the brain caused by strangulation or suffocation, which damages brain tissue through a different mechanism but produces an overlapping set of cognitive, emotional, and behavioral consequences. Clinically and physiologically, both are brain injuries. Both are treatable with the same underlying therapeutic logic: restoring oxygen delivery to damaged brain tissue.</w:t>
            </w:r>
          </w:p>
        </w:tc>
      </w:tr>
    </w:tbl>
    <w:p w14:paraId="2A3DD86D" w14:textId="77777777" w:rsidR="00C65EA5" w:rsidRDefault="00000000">
      <w:pPr>
        <w:pStyle w:val="Heading1"/>
        <w:keepNext/>
        <w:pBdr>
          <w:bottom w:val="single" w:sz="8" w:space="4" w:color="1B3A5C"/>
        </w:pBdr>
      </w:pPr>
      <w:bookmarkStart w:id="5" w:name="_Toc233126264"/>
      <w:r>
        <w:t>Part Two: Domestic Violence Is a Traumatic Brain Injury Crisis</w:t>
      </w:r>
      <w:bookmarkEnd w:id="5"/>
    </w:p>
    <w:p w14:paraId="21A4A857" w14:textId="77777777" w:rsidR="00C65EA5" w:rsidRDefault="00000000">
      <w:pPr>
        <w:pStyle w:val="Heading2"/>
        <w:keepNext/>
      </w:pPr>
      <w:bookmarkStart w:id="6" w:name="_Toc233126265"/>
      <w:r>
        <w:t>The Prevalence Research</w:t>
      </w:r>
      <w:bookmarkEnd w:id="6"/>
    </w:p>
    <w:p w14:paraId="44DAC3CF" w14:textId="77777777" w:rsidR="00C65EA5" w:rsidRDefault="00000000">
      <w:pPr>
        <w:spacing w:after="160" w:line="276" w:lineRule="auto"/>
      </w:pPr>
      <w:r>
        <w:t>The clinical research literature on IPV-related brain injury has grown substantially over the past decade, driven in large part by the work of researchers including Dr. Eve Valera at Harvard Medical School and Massachusetts General Hospital, whose studies are among the most frequently cited in the field. A 2018 study by Valera and colleagues of 99 women who had experienced intimate partner violence found that 75% had sustained at least one traumatic brain injury from partner violence, and 50% had sustained multiple brain injuries over the course of their abuse. Valera has estimated that the number of brain injuries sustained by domestic violence survivors nationally may reach 1.6 million per year — a figure she and other researchers argue is likely conservative, given chronic underdiagnosis and underreporting.</w:t>
      </w:r>
    </w:p>
    <w:p w14:paraId="1796AA81" w14:textId="77777777" w:rsidR="00C65EA5" w:rsidRDefault="00000000">
      <w:pPr>
        <w:spacing w:after="200" w:line="276" w:lineRule="auto"/>
      </w:pPr>
      <w:r>
        <w:t xml:space="preserve">A 2022 scoping review of 42 published studies on IPV-related TBI found that documented prevalence rates range from 19% to 75% across the empirical </w:t>
      </w:r>
      <w:proofErr w:type="gramStart"/>
      <w:r>
        <w:t>literature, and</w:t>
      </w:r>
      <w:proofErr w:type="gramEnd"/>
      <w:r>
        <w:t xml:space="preserve"> reach as high as 100% in studies that specifically enrolled survivors who reported head injuries. The wide range reflects differences in study populations and screening methods rather than disagreement about the underlying problem: every study in the literature, regardless of methodology, finds that physical IPV survivors sustain brain injuries at rates far higher than the general population, and far higher than public awareness or clinical practice currently reflects.</w:t>
      </w:r>
    </w:p>
    <w:tbl>
      <w:tblPr>
        <w:tblW w:w="1008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360"/>
        <w:gridCol w:w="3360"/>
        <w:gridCol w:w="3360"/>
      </w:tblGrid>
      <w:tr w:rsidR="00C65EA5" w14:paraId="1BD8BBC7" w14:textId="77777777">
        <w:tblPrEx>
          <w:tblCellMar>
            <w:top w:w="0" w:type="dxa"/>
            <w:bottom w:w="0" w:type="dxa"/>
          </w:tblCellMar>
        </w:tblPrEx>
        <w:tc>
          <w:tcPr>
            <w:tcW w:w="3360" w:type="dxa"/>
            <w:shd w:val="clear" w:color="auto" w:fill="FBEAEC"/>
            <w:tcMar>
              <w:top w:w="180" w:type="dxa"/>
              <w:left w:w="160" w:type="dxa"/>
              <w:bottom w:w="180" w:type="dxa"/>
              <w:right w:w="160" w:type="dxa"/>
            </w:tcMar>
            <w:vAlign w:val="center"/>
          </w:tcPr>
          <w:p w14:paraId="0A17C339" w14:textId="77777777" w:rsidR="00C65EA5" w:rsidRDefault="00000000">
            <w:pPr>
              <w:spacing w:after="60"/>
              <w:jc w:val="center"/>
            </w:pPr>
            <w:r>
              <w:rPr>
                <w:b/>
                <w:bCs/>
                <w:color w:val="B0202A"/>
                <w:sz w:val="40"/>
                <w:szCs w:val="40"/>
              </w:rPr>
              <w:t>75%</w:t>
            </w:r>
          </w:p>
          <w:p w14:paraId="4CA92990" w14:textId="77777777" w:rsidR="00C65EA5" w:rsidRDefault="00000000">
            <w:pPr>
              <w:jc w:val="center"/>
            </w:pPr>
            <w:r>
              <w:rPr>
                <w:b/>
                <w:bCs/>
                <w:color w:val="595959"/>
                <w:sz w:val="17"/>
                <w:szCs w:val="17"/>
              </w:rPr>
              <w:t>AT LEAST ONE TBI</w:t>
            </w:r>
          </w:p>
          <w:p w14:paraId="10AC5A93" w14:textId="77777777" w:rsidR="00C65EA5" w:rsidRDefault="00000000">
            <w:pPr>
              <w:spacing w:before="40"/>
              <w:jc w:val="center"/>
            </w:pPr>
            <w:r>
              <w:rPr>
                <w:i/>
                <w:iCs/>
                <w:color w:val="8C8C8C"/>
                <w:sz w:val="15"/>
                <w:szCs w:val="15"/>
              </w:rPr>
              <w:t>Valera et al., 2018 (n=99)</w:t>
            </w:r>
          </w:p>
        </w:tc>
        <w:tc>
          <w:tcPr>
            <w:tcW w:w="3360" w:type="dxa"/>
            <w:shd w:val="clear" w:color="auto" w:fill="F2F5F8"/>
            <w:tcMar>
              <w:top w:w="180" w:type="dxa"/>
              <w:left w:w="160" w:type="dxa"/>
              <w:bottom w:w="180" w:type="dxa"/>
              <w:right w:w="160" w:type="dxa"/>
            </w:tcMar>
            <w:vAlign w:val="center"/>
          </w:tcPr>
          <w:p w14:paraId="3F1B6409" w14:textId="77777777" w:rsidR="00C65EA5" w:rsidRDefault="00000000">
            <w:pPr>
              <w:spacing w:after="60"/>
              <w:jc w:val="center"/>
            </w:pPr>
            <w:r>
              <w:rPr>
                <w:b/>
                <w:bCs/>
                <w:color w:val="1B3A5C"/>
                <w:sz w:val="40"/>
                <w:szCs w:val="40"/>
              </w:rPr>
              <w:t>50%</w:t>
            </w:r>
          </w:p>
          <w:p w14:paraId="18D994AC" w14:textId="77777777" w:rsidR="00C65EA5" w:rsidRDefault="00000000">
            <w:pPr>
              <w:jc w:val="center"/>
            </w:pPr>
            <w:r>
              <w:rPr>
                <w:b/>
                <w:bCs/>
                <w:color w:val="595959"/>
                <w:sz w:val="17"/>
                <w:szCs w:val="17"/>
              </w:rPr>
              <w:t>MULTIPLE TBIs</w:t>
            </w:r>
          </w:p>
          <w:p w14:paraId="6E29576F" w14:textId="77777777" w:rsidR="00C65EA5" w:rsidRDefault="00000000">
            <w:pPr>
              <w:spacing w:before="40"/>
              <w:jc w:val="center"/>
            </w:pPr>
            <w:r>
              <w:rPr>
                <w:i/>
                <w:iCs/>
                <w:color w:val="8C8C8C"/>
                <w:sz w:val="15"/>
                <w:szCs w:val="15"/>
              </w:rPr>
              <w:t>same study population</w:t>
            </w:r>
          </w:p>
        </w:tc>
        <w:tc>
          <w:tcPr>
            <w:tcW w:w="3360" w:type="dxa"/>
            <w:shd w:val="clear" w:color="auto" w:fill="FCF3DC"/>
            <w:tcMar>
              <w:top w:w="180" w:type="dxa"/>
              <w:left w:w="160" w:type="dxa"/>
              <w:bottom w:w="180" w:type="dxa"/>
              <w:right w:w="160" w:type="dxa"/>
            </w:tcMar>
            <w:vAlign w:val="center"/>
          </w:tcPr>
          <w:p w14:paraId="430C2C12" w14:textId="77777777" w:rsidR="00C65EA5" w:rsidRDefault="00000000">
            <w:pPr>
              <w:spacing w:after="60"/>
              <w:jc w:val="center"/>
            </w:pPr>
            <w:r>
              <w:rPr>
                <w:b/>
                <w:bCs/>
                <w:color w:val="8A6D1A"/>
                <w:sz w:val="40"/>
                <w:szCs w:val="40"/>
              </w:rPr>
              <w:t>1.6M</w:t>
            </w:r>
          </w:p>
          <w:p w14:paraId="450373FF" w14:textId="77777777" w:rsidR="00C65EA5" w:rsidRDefault="00000000">
            <w:pPr>
              <w:jc w:val="center"/>
            </w:pPr>
            <w:r>
              <w:rPr>
                <w:b/>
                <w:bCs/>
                <w:color w:val="595959"/>
                <w:sz w:val="17"/>
                <w:szCs w:val="17"/>
              </w:rPr>
              <w:t>EST. ANNUAL U.S. CASES</w:t>
            </w:r>
          </w:p>
          <w:p w14:paraId="3085E617" w14:textId="77777777" w:rsidR="00C65EA5" w:rsidRDefault="00000000">
            <w:pPr>
              <w:spacing w:before="40"/>
              <w:jc w:val="center"/>
            </w:pPr>
            <w:r>
              <w:rPr>
                <w:i/>
                <w:iCs/>
                <w:color w:val="8C8C8C"/>
                <w:sz w:val="15"/>
                <w:szCs w:val="15"/>
              </w:rPr>
              <w:t>Valera, Harvard Medical School</w:t>
            </w:r>
          </w:p>
        </w:tc>
      </w:tr>
    </w:tbl>
    <w:p w14:paraId="64A87657" w14:textId="77777777" w:rsidR="00C65EA5" w:rsidRDefault="00000000">
      <w:pPr>
        <w:spacing w:before="60" w:after="200"/>
      </w:pPr>
      <w:r>
        <w:rPr>
          <w:i/>
          <w:iCs/>
          <w:color w:val="8C8C8C"/>
          <w:sz w:val="15"/>
          <w:szCs w:val="15"/>
        </w:rPr>
        <w:t>Source: Valera, E.M. et al., Journal of Head Trauma Rehabilitation and related publications; Ohio Domestic Violence Network research summary.</w:t>
      </w:r>
    </w:p>
    <w:p w14:paraId="2DD0D886" w14:textId="77777777" w:rsidR="00C65EA5" w:rsidRDefault="00000000">
      <w:pPr>
        <w:pStyle w:val="Heading2"/>
        <w:keepNext/>
      </w:pPr>
      <w:bookmarkStart w:id="7" w:name="_Toc233126266"/>
      <w:r>
        <w:t>Confirmed at the Point of Service</w:t>
      </w:r>
      <w:bookmarkEnd w:id="7"/>
    </w:p>
    <w:p w14:paraId="400F5C41" w14:textId="77777777" w:rsidR="00C65EA5" w:rsidRDefault="00000000">
      <w:pPr>
        <w:spacing w:after="160" w:line="276" w:lineRule="auto"/>
      </w:pPr>
      <w:r>
        <w:t>These prevalence figures are not confined to academic research — they are being confirmed in real time by frontline domestic violence service providers and justice systems that have begun screening for brain injury for the first time. Ohio's statewide domestic violence network found, in screening conducted through its member programs, that 81% of survivors reported having been hit or hurt in the head, neck, or face — with 49% saying it happened too many times to count — and 83% reported having been choked or strangled.</w:t>
      </w:r>
    </w:p>
    <w:p w14:paraId="2852FFB5" w14:textId="77777777" w:rsidR="00C65EA5" w:rsidRDefault="00000000">
      <w:pPr>
        <w:spacing w:after="200" w:line="276" w:lineRule="auto"/>
      </w:pPr>
      <w:r>
        <w:t xml:space="preserve">A retrospective chart review of survivors screened at a community Justice Center in New York found that of 40 physical IPV survivors assessed, all 40 — 100% — reported a prior history of partner-induced acquired brain injury within the preceding 60 days, and 92.5% reported at least one probable hypoxic brain injury from </w:t>
      </w:r>
      <w:r>
        <w:lastRenderedPageBreak/>
        <w:t>strangulation. These are not historical estimates; they are findings from survivors walking through the doors of services that exist today, assessed with validated clinical screening tools, in real time.</w:t>
      </w:r>
    </w:p>
    <w:p w14:paraId="13289148" w14:textId="77777777" w:rsidR="00C65EA5" w:rsidRDefault="00000000">
      <w:pPr>
        <w:pStyle w:val="Heading2"/>
        <w:keepNext/>
      </w:pPr>
      <w:bookmarkStart w:id="8" w:name="_Toc233126267"/>
      <w:r>
        <w:t>Why This Injury Goes Unrecognized</w:t>
      </w:r>
      <w:bookmarkEnd w:id="8"/>
    </w:p>
    <w:p w14:paraId="165A386C" w14:textId="77777777" w:rsidR="00C65EA5" w:rsidRDefault="00000000">
      <w:pPr>
        <w:spacing w:after="120" w:line="276" w:lineRule="auto"/>
      </w:pPr>
      <w:r>
        <w:t>The central clinical problem this paper addresses is not a lack of injury — it is a near-total absence of recognition. Several converging factors explain why IPV-related brain injury remains the most under-diagnosed major TBI population in the country:</w:t>
      </w:r>
    </w:p>
    <w:p w14:paraId="1E3342BB" w14:textId="77777777" w:rsidR="00C65EA5" w:rsidRDefault="00000000">
      <w:pPr>
        <w:pStyle w:val="ListParagraph"/>
        <w:numPr>
          <w:ilvl w:val="0"/>
          <w:numId w:val="2"/>
        </w:numPr>
        <w:spacing w:after="100" w:line="270" w:lineRule="auto"/>
      </w:pPr>
      <w:r>
        <w:t xml:space="preserve">No standard screening protocol. Unlike youth sports, the military, and increasingly the NCAA, domestic violence shelters, emergency departments, and law enforcement have </w:t>
      </w:r>
      <w:proofErr w:type="gramStart"/>
      <w:r>
        <w:t>no</w:t>
      </w:r>
      <w:proofErr w:type="gramEnd"/>
      <w:r>
        <w:t xml:space="preserve"> standardized, widely adopted tool for screening IPV survivors for brain injury at intake.</w:t>
      </w:r>
    </w:p>
    <w:p w14:paraId="2F93BBF4" w14:textId="77777777" w:rsidR="00C65EA5" w:rsidRDefault="00000000">
      <w:pPr>
        <w:pStyle w:val="ListParagraph"/>
        <w:numPr>
          <w:ilvl w:val="0"/>
          <w:numId w:val="2"/>
        </w:numPr>
        <w:spacing w:after="100" w:line="270" w:lineRule="auto"/>
      </w:pPr>
      <w:r>
        <w:t xml:space="preserve">Diagnostic substitution. Cognitive, emotional, and behavioral symptoms caused by an undiagnosed brain injury — memory loss, difficulty concentrating, mood instability, irritability — overlap heavily with PTSD, depression, and personality disorder diagnoses, and IPV-related TBI is routinely absorbed into those psychiatric labels rather than identified and treated as a physical </w:t>
      </w:r>
      <w:proofErr w:type="gramStart"/>
      <w:r>
        <w:t>injury in its own right</w:t>
      </w:r>
      <w:proofErr w:type="gramEnd"/>
      <w:r>
        <w:t>.</w:t>
      </w:r>
    </w:p>
    <w:p w14:paraId="519E4613" w14:textId="77777777" w:rsidR="00C65EA5" w:rsidRDefault="00000000">
      <w:pPr>
        <w:pStyle w:val="ListParagraph"/>
        <w:numPr>
          <w:ilvl w:val="0"/>
          <w:numId w:val="2"/>
        </w:numPr>
        <w:spacing w:after="100" w:line="270" w:lineRule="auto"/>
      </w:pPr>
      <w:r>
        <w:t xml:space="preserve">No external markers. Strangulation, the single most dangerous mechanism of injury in this population, frequently leaves no visible bruising or other evidence, which means it is </w:t>
      </w:r>
      <w:proofErr w:type="spellStart"/>
      <w:r>
        <w:t>underrecorded</w:t>
      </w:r>
      <w:proofErr w:type="spellEnd"/>
      <w:r>
        <w:t xml:space="preserve"> in medical charts, police reports, and court filings alike.</w:t>
      </w:r>
    </w:p>
    <w:p w14:paraId="3FF316DA" w14:textId="77777777" w:rsidR="00C65EA5" w:rsidRDefault="00000000">
      <w:pPr>
        <w:pStyle w:val="ListParagraph"/>
        <w:numPr>
          <w:ilvl w:val="0"/>
          <w:numId w:val="2"/>
        </w:numPr>
        <w:spacing w:after="100" w:line="270" w:lineRule="auto"/>
      </w:pPr>
      <w:r>
        <w:t>Survivor-side barriers. Stigma, fear of retaliation, distrust of systems, and the survivor's own lack of awareness that a head injury occurred all suppress reporting — particularly for strangulation events that did not produce a clear loss of consciousness.</w:t>
      </w:r>
    </w:p>
    <w:p w14:paraId="6BC07BC4" w14:textId="77777777" w:rsidR="00C65EA5" w:rsidRDefault="00000000">
      <w:pPr>
        <w:pStyle w:val="ListParagraph"/>
        <w:numPr>
          <w:ilvl w:val="0"/>
          <w:numId w:val="2"/>
        </w:numPr>
        <w:spacing w:after="100" w:line="270" w:lineRule="auto"/>
      </w:pPr>
      <w:r>
        <w:t>A research and funding gap. Despite the scale of the problem, IPV-related brain injury has received a small fraction of the research funding and public attention directed at military and sports-related TBI over the same period.</w:t>
      </w:r>
    </w:p>
    <w:tbl>
      <w:tblPr>
        <w:tblW w:w="10080" w:type="dxa"/>
        <w:tblBorders>
          <w:top w:val="single" w:sz="1" w:space="0" w:color="F2F5F8"/>
          <w:left w:val="single" w:sz="24" w:space="0" w:color="1B3A5C"/>
          <w:bottom w:val="single" w:sz="1" w:space="0" w:color="F2F5F8"/>
          <w:right w:val="single" w:sz="1" w:space="0" w:color="F2F5F8"/>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65EA5" w14:paraId="38C1F49F" w14:textId="77777777">
        <w:tblPrEx>
          <w:tblCellMar>
            <w:top w:w="0" w:type="dxa"/>
            <w:bottom w:w="0" w:type="dxa"/>
          </w:tblCellMar>
        </w:tblPrEx>
        <w:tc>
          <w:tcPr>
            <w:tcW w:w="10080" w:type="dxa"/>
            <w:shd w:val="clear" w:color="auto" w:fill="F2F5F8"/>
            <w:tcMar>
              <w:top w:w="160" w:type="dxa"/>
              <w:left w:w="220" w:type="dxa"/>
              <w:bottom w:w="160" w:type="dxa"/>
              <w:right w:w="220" w:type="dxa"/>
            </w:tcMar>
          </w:tcPr>
          <w:p w14:paraId="5258EE7C" w14:textId="77777777" w:rsidR="00C65EA5" w:rsidRDefault="00000000">
            <w:pPr>
              <w:spacing w:line="270" w:lineRule="auto"/>
            </w:pPr>
            <w:r>
              <w:rPr>
                <w:sz w:val="20"/>
                <w:szCs w:val="20"/>
              </w:rPr>
              <w:t>“If traumatic brain injury is not considered a consequence of interpersonal violence, a victim's behavior can be misunderstood by people with whom the victim interacts, including health professionals.” — peer-reviewed literature, cited widely across the IPV-TBI research base.</w:t>
            </w:r>
          </w:p>
        </w:tc>
      </w:tr>
    </w:tbl>
    <w:p w14:paraId="03D24EFB" w14:textId="77777777" w:rsidR="00C65EA5" w:rsidRDefault="00000000">
      <w:pPr>
        <w:pStyle w:val="Heading2"/>
        <w:keepNext/>
      </w:pPr>
      <w:bookmarkStart w:id="9" w:name="_Toc233126268"/>
      <w:r>
        <w:t>The Downstream Consequences</w:t>
      </w:r>
      <w:bookmarkEnd w:id="9"/>
    </w:p>
    <w:p w14:paraId="362CB725" w14:textId="77777777" w:rsidR="00C65EA5" w:rsidRDefault="00000000">
      <w:pPr>
        <w:spacing w:after="160" w:line="276" w:lineRule="auto"/>
      </w:pPr>
      <w:r>
        <w:t>An untreated brain injury does not resolve on its own simply because the abusive relationship ends. The cognitive and psychiatric consequences of IPV-related TBI compound over time, and research has found they include measurable deficits in long-term and working memory, executive function impairment, emotional dysregulation, and significantly elevated rates of PTSD and depression — the very symptom cluster most often mistaken for a purely psychiatric condition. Survivors with a probable brain injury are also documented to face higher rates of acute medical complications: one analysis found IPV survivors with a co-occurring TBI were three times more likely to require intensive care unit admission than those without.</w:t>
      </w:r>
    </w:p>
    <w:p w14:paraId="6C7AD69D" w14:textId="77777777" w:rsidR="00C65EA5" w:rsidRDefault="00000000">
      <w:pPr>
        <w:spacing w:after="200" w:line="276" w:lineRule="auto"/>
      </w:pPr>
      <w:r>
        <w:t>Research has also identified a generational dimension to this crisis. Approximately 75% of women who experienced TBI from domestic violence in adulthood report having also experienced abuse as a child — evidence of a cycle in which brain injury, instability, and exposure to violence compound across a lifetime and, frequently, across generations within the same family.</w:t>
      </w:r>
    </w:p>
    <w:p w14:paraId="3F882C83" w14:textId="77777777" w:rsidR="00C65EA5" w:rsidRDefault="00000000">
      <w:pPr>
        <w:pStyle w:val="Heading1"/>
        <w:keepNext/>
        <w:pBdr>
          <w:bottom w:val="single" w:sz="8" w:space="4" w:color="1B3A5C"/>
        </w:pBdr>
      </w:pPr>
      <w:bookmarkStart w:id="10" w:name="_Toc233126269"/>
      <w:r>
        <w:lastRenderedPageBreak/>
        <w:t>Part Three: The Same Wound Already Has a Treatment</w:t>
      </w:r>
      <w:bookmarkEnd w:id="10"/>
    </w:p>
    <w:p w14:paraId="66207195" w14:textId="77777777" w:rsidR="00C65EA5" w:rsidRDefault="00000000">
      <w:pPr>
        <w:pStyle w:val="Heading2"/>
        <w:keepNext/>
      </w:pPr>
      <w:bookmarkStart w:id="11" w:name="_Toc233126270"/>
      <w:r>
        <w:t>From Veterans to Survivors: One Underlying Injury</w:t>
      </w:r>
      <w:bookmarkEnd w:id="11"/>
    </w:p>
    <w:p w14:paraId="05B252B9" w14:textId="634380F6" w:rsidR="00C65EA5" w:rsidRDefault="00000000">
      <w:pPr>
        <w:spacing w:after="160" w:line="276" w:lineRule="auto"/>
      </w:pPr>
      <w:r>
        <w:t xml:space="preserve">The TreatNOW Coalition's policy work over the past </w:t>
      </w:r>
      <w:r w:rsidR="00166F94">
        <w:t xml:space="preserve">two </w:t>
      </w:r>
      <w:r>
        <w:t>decade</w:t>
      </w:r>
      <w:r w:rsidR="00166F94">
        <w:t>s</w:t>
      </w:r>
      <w:r>
        <w:t xml:space="preserve"> has centered on a single, evidence-driven argument: that traumatic brain injury is a physical wound to brain tissue, not a psychiatric condition, and that the standard of care for veterans — pharmacological symptom management — treats the downstream symptoms of that wound without addressing the underlying injury. That argument, and the research base behind it, does not depend on the cause of the injury. A brain injured by a blast wave, a brain injured by a football collision, and a brain injured by a partner's fist or forearm share the same basic pathology: disrupted blood flow and oxygen delivery to injured tissue, inflammation, and a cascade of cellular damage that worsens without intervention.</w:t>
      </w:r>
    </w:p>
    <w:p w14:paraId="251C44C5" w14:textId="77777777" w:rsidR="00C65EA5" w:rsidRDefault="00000000">
      <w:pPr>
        <w:spacing w:after="200" w:line="276" w:lineRule="auto"/>
      </w:pPr>
      <w:r>
        <w:t>Hyperbaric oxygen therapy works by dramatically increasing the amount of oxygen dissolved in blood plasma, allowing oxygen to reach injured brain tissue that has lost adequate blood supply — tissue that imaging often shows as metabolically idling, neither fully dead nor fully functioning. The treatment's underlying mechanism is the same regardless of how the injury occurred, which is precisely why a treatment validated in combat veterans is directly relevant to a population, IPV survivors, that has never been part of the conversation.</w:t>
      </w:r>
    </w:p>
    <w:p w14:paraId="488710EF" w14:textId="77777777" w:rsidR="00C65EA5" w:rsidRDefault="00000000">
      <w:pPr>
        <w:pStyle w:val="Heading2"/>
        <w:keepNext/>
      </w:pPr>
      <w:bookmarkStart w:id="12" w:name="_Toc233126271"/>
      <w:r>
        <w:t>The Existing Evidence Base</w:t>
      </w:r>
      <w:bookmarkEnd w:id="12"/>
    </w:p>
    <w:p w14:paraId="00A172BA" w14:textId="77777777" w:rsidR="00C65EA5" w:rsidRDefault="00000000">
      <w:pPr>
        <w:spacing w:after="160" w:line="276" w:lineRule="auto"/>
      </w:pPr>
      <w:r>
        <w:t>The TreatNOW Coalition's evidence compilation includes 29 peer-reviewed studies of HBOT for TBI and post-traumatic stress, encompassing several randomized controlled trials — the strongest tier of clinical evidence — alongside controlled and observational studies, arrayed according to the NHMRC evidence hierarchy used broadly in evidence-based medicine. This includes Israeli randomized controlled trials conducted at the Sagol Center for Hyperbaric Medicine and Research, where HBOT is provided at government expense to veterans and, since October 2023, to civilian trauma survivors with post-traumatic stress, alongside U.S.-based research spanning more than a decade.</w:t>
      </w:r>
    </w:p>
    <w:p w14:paraId="4CBAEB23" w14:textId="77777777" w:rsidR="00C65EA5" w:rsidRDefault="00000000">
      <w:pPr>
        <w:spacing w:after="200" w:line="276" w:lineRule="auto"/>
      </w:pPr>
      <w:r>
        <w:t>None of this existing evidence base was generated using a domestic violence survivor population. That is precisely the gap this paper identifies: a validated treatment, a documented mechanism of injury, and a population in obvious clinical need — with no research, no pilot programs, and no policy connecting the three.</w:t>
      </w:r>
    </w:p>
    <w:tbl>
      <w:tblPr>
        <w:tblW w:w="10080" w:type="dxa"/>
        <w:tblBorders>
          <w:top w:val="single" w:sz="1" w:space="0" w:color="FCF3DC"/>
          <w:left w:val="single" w:sz="24" w:space="0" w:color="8A6D1A"/>
          <w:bottom w:val="single" w:sz="1" w:space="0" w:color="FCF3DC"/>
          <w:right w:val="single" w:sz="1" w:space="0" w:color="FCF3D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65EA5" w14:paraId="79E27895" w14:textId="77777777">
        <w:tblPrEx>
          <w:tblCellMar>
            <w:top w:w="0" w:type="dxa"/>
            <w:bottom w:w="0" w:type="dxa"/>
          </w:tblCellMar>
        </w:tblPrEx>
        <w:tc>
          <w:tcPr>
            <w:tcW w:w="10080" w:type="dxa"/>
            <w:shd w:val="clear" w:color="auto" w:fill="FCF3DC"/>
            <w:tcMar>
              <w:top w:w="160" w:type="dxa"/>
              <w:left w:w="220" w:type="dxa"/>
              <w:bottom w:w="160" w:type="dxa"/>
              <w:right w:w="220" w:type="dxa"/>
            </w:tcMar>
          </w:tcPr>
          <w:p w14:paraId="39DB85F1" w14:textId="77777777" w:rsidR="00C65EA5" w:rsidRDefault="00000000">
            <w:pPr>
              <w:spacing w:after="80"/>
            </w:pPr>
            <w:r>
              <w:rPr>
                <w:b/>
                <w:bCs/>
                <w:color w:val="8A6D1A"/>
              </w:rPr>
              <w:t>Strangulation-Related Injury and HBOT: A Direct Physiological Fit</w:t>
            </w:r>
          </w:p>
          <w:p w14:paraId="35AE46E4" w14:textId="77777777" w:rsidR="00C65EA5" w:rsidRDefault="00000000">
            <w:pPr>
              <w:spacing w:line="270" w:lineRule="auto"/>
            </w:pPr>
            <w:r>
              <w:rPr>
                <w:sz w:val="20"/>
                <w:szCs w:val="20"/>
              </w:rPr>
              <w:t xml:space="preserve">Hypoxic-anoxic brain injury from strangulation is, by definition, an oxygen-deprivation injury — brain tissue damaged because it did not receive enough oxygen for </w:t>
            </w:r>
            <w:proofErr w:type="gramStart"/>
            <w:r>
              <w:rPr>
                <w:sz w:val="20"/>
                <w:szCs w:val="20"/>
              </w:rPr>
              <w:t>a period of time</w:t>
            </w:r>
            <w:proofErr w:type="gramEnd"/>
            <w:r>
              <w:rPr>
                <w:sz w:val="20"/>
                <w:szCs w:val="20"/>
              </w:rPr>
              <w:t>. Hyperbaric oxygen therapy's core mechanism is the delivery of supersaturated oxygen to compromised tissue. Of every mechanism of IPV-related brain injury, strangulation-related hypoxic injury maps most directly onto what HBOT is physiologically designed to address — yet it is also the mechanism least likely to be recognized, screened for, or treated under current practice.</w:t>
            </w:r>
          </w:p>
        </w:tc>
      </w:tr>
    </w:tbl>
    <w:p w14:paraId="0038F195" w14:textId="77777777" w:rsidR="00C65EA5" w:rsidRDefault="00000000">
      <w:pPr>
        <w:pStyle w:val="Heading2"/>
        <w:keepNext/>
      </w:pPr>
      <w:bookmarkStart w:id="13" w:name="_Toc233126272"/>
      <w:r>
        <w:t>Why This Population Has Been Overlooked</w:t>
      </w:r>
      <w:bookmarkEnd w:id="13"/>
    </w:p>
    <w:p w14:paraId="23988193" w14:textId="77777777" w:rsidR="00C65EA5" w:rsidRDefault="00000000">
      <w:pPr>
        <w:spacing w:after="160" w:line="276" w:lineRule="auto"/>
      </w:pPr>
      <w:r>
        <w:t xml:space="preserve">Veterans and athletes became the public face of the TBI crisis because their injuries occur in institutional settings — the military and organized sports — that eventually built screening, tracking, and research infrastructure around them, often after years of advocacy and, in the case of the NCAA, after major litigation forced the issue. Domestic violence survivors have no equivalent </w:t>
      </w:r>
      <w:proofErr w:type="gramStart"/>
      <w:r>
        <w:t>institution</w:t>
      </w:r>
      <w:proofErr w:type="gramEnd"/>
      <w:r>
        <w:t xml:space="preserve">. There is no sideline concussion protocol for a survivor assaulted in her own home, no after-action report, no helmet sensor, no team </w:t>
      </w:r>
      <w:r>
        <w:lastRenderedPageBreak/>
        <w:t>physician. The injury is sustained in private, is rarely reported even when survivors do seek help, and disappears into the broader, already-overwhelmed domestic violence response system rather than triggering a distinct medical pathway.</w:t>
      </w:r>
    </w:p>
    <w:p w14:paraId="2CAFB0D5" w14:textId="77777777" w:rsidR="00C65EA5" w:rsidRDefault="00000000">
      <w:pPr>
        <w:spacing w:after="200" w:line="276" w:lineRule="auto"/>
      </w:pPr>
      <w:r>
        <w:t>The result is a population that, by the most cited research estimates, may sustain more brain injuries each year than U.S. military combat and organized contact sports combined — with almost none of the corresponding research investment, screening infrastructure, or treatment access.</w:t>
      </w:r>
    </w:p>
    <w:p w14:paraId="6B1FA7BB" w14:textId="77777777" w:rsidR="00C65EA5" w:rsidRDefault="00000000">
      <w:pPr>
        <w:pStyle w:val="Heading1"/>
        <w:keepNext/>
        <w:pBdr>
          <w:bottom w:val="single" w:sz="8" w:space="4" w:color="1B3A5C"/>
        </w:pBdr>
      </w:pPr>
      <w:bookmarkStart w:id="14" w:name="_Toc233126273"/>
      <w:r>
        <w:t>Part Four: New York Has Shown the Country How to Start</w:t>
      </w:r>
      <w:bookmarkEnd w:id="14"/>
    </w:p>
    <w:p w14:paraId="38728E4C" w14:textId="77777777" w:rsidR="00C65EA5" w:rsidRDefault="00000000">
      <w:pPr>
        <w:spacing w:after="160" w:line="276" w:lineRule="auto"/>
      </w:pPr>
      <w:r>
        <w:t>While the DV-TBI connection remains largely invisible in national policy, one state has moved further than any other to name it formally and build the early infrastructure to respond. New York's 2024 actions provide a template every other state can adapt — and a foundation TreatNOW's HBOT advocacy can build directly on top of.</w:t>
      </w:r>
    </w:p>
    <w:p w14:paraId="1DC9B9AD" w14:textId="77777777" w:rsidR="00C65EA5" w:rsidRDefault="00000000">
      <w:pPr>
        <w:pStyle w:val="Heading2"/>
        <w:keepNext/>
      </w:pPr>
      <w:bookmarkStart w:id="15" w:name="_Toc233126274"/>
      <w:r>
        <w:t>New York's 2024 Gender-Based Violence Data</w:t>
      </w:r>
      <w:bookmarkEnd w:id="15"/>
    </w:p>
    <w:p w14:paraId="5EE4E0F0" w14:textId="77777777" w:rsidR="00C65EA5" w:rsidRDefault="00000000">
      <w:pPr>
        <w:spacing w:after="160" w:line="276" w:lineRule="auto"/>
      </w:pPr>
      <w:r>
        <w:t>New York's Office for the Prevention of Domestic Violence (OPDV) has compiled statewide domestic violence data for eighteen consecutive years. The 2024 dashboard, released October 2025, documents system contacts — not estimates — across law enforcement, courts, shelters, hotlines, and state social services. New York City alone recorded 249,077 domestic incident reports in 2024, and the state's courts entered 241,351 orders of protection statewide. New York's own non-NYC counties recorded 38 intimate partner violence homicides; NYC recorded an additional 33 intimate partner and 33 family violence homicides.</w:t>
      </w:r>
    </w:p>
    <w:tbl>
      <w:tblPr>
        <w:tblW w:w="1008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360"/>
        <w:gridCol w:w="3360"/>
        <w:gridCol w:w="3360"/>
      </w:tblGrid>
      <w:tr w:rsidR="00C65EA5" w14:paraId="395B76D5" w14:textId="77777777">
        <w:tblPrEx>
          <w:tblCellMar>
            <w:top w:w="0" w:type="dxa"/>
            <w:bottom w:w="0" w:type="dxa"/>
          </w:tblCellMar>
        </w:tblPrEx>
        <w:tc>
          <w:tcPr>
            <w:tcW w:w="3360" w:type="dxa"/>
            <w:shd w:val="clear" w:color="auto" w:fill="FBEAEC"/>
            <w:tcMar>
              <w:top w:w="180" w:type="dxa"/>
              <w:left w:w="160" w:type="dxa"/>
              <w:bottom w:w="180" w:type="dxa"/>
              <w:right w:w="160" w:type="dxa"/>
            </w:tcMar>
            <w:vAlign w:val="center"/>
          </w:tcPr>
          <w:p w14:paraId="0D962EC8" w14:textId="77777777" w:rsidR="00C65EA5" w:rsidRDefault="00000000">
            <w:pPr>
              <w:spacing w:after="60"/>
              <w:jc w:val="center"/>
            </w:pPr>
            <w:r>
              <w:rPr>
                <w:b/>
                <w:bCs/>
                <w:color w:val="B0202A"/>
                <w:sz w:val="40"/>
                <w:szCs w:val="40"/>
              </w:rPr>
              <w:t>249K</w:t>
            </w:r>
          </w:p>
          <w:p w14:paraId="558D6F18" w14:textId="77777777" w:rsidR="00C65EA5" w:rsidRDefault="00000000">
            <w:pPr>
              <w:jc w:val="center"/>
            </w:pPr>
            <w:r>
              <w:rPr>
                <w:b/>
                <w:bCs/>
                <w:color w:val="595959"/>
                <w:sz w:val="17"/>
                <w:szCs w:val="17"/>
              </w:rPr>
              <w:t>NYC DV REPORTS, 2024</w:t>
            </w:r>
          </w:p>
          <w:p w14:paraId="2DEBCDA7" w14:textId="77777777" w:rsidR="00C65EA5" w:rsidRDefault="00000000">
            <w:pPr>
              <w:spacing w:before="40"/>
              <w:jc w:val="center"/>
            </w:pPr>
            <w:r>
              <w:rPr>
                <w:i/>
                <w:iCs/>
                <w:color w:val="8C8C8C"/>
                <w:sz w:val="15"/>
                <w:szCs w:val="15"/>
              </w:rPr>
              <w:t>OPDV / ENDGBV dashboard</w:t>
            </w:r>
          </w:p>
        </w:tc>
        <w:tc>
          <w:tcPr>
            <w:tcW w:w="3360" w:type="dxa"/>
            <w:shd w:val="clear" w:color="auto" w:fill="F2F5F8"/>
            <w:tcMar>
              <w:top w:w="180" w:type="dxa"/>
              <w:left w:w="160" w:type="dxa"/>
              <w:bottom w:w="180" w:type="dxa"/>
              <w:right w:w="160" w:type="dxa"/>
            </w:tcMar>
            <w:vAlign w:val="center"/>
          </w:tcPr>
          <w:p w14:paraId="4A3D42A7" w14:textId="77777777" w:rsidR="00C65EA5" w:rsidRDefault="00000000">
            <w:pPr>
              <w:spacing w:after="60"/>
              <w:jc w:val="center"/>
            </w:pPr>
            <w:r>
              <w:rPr>
                <w:b/>
                <w:bCs/>
                <w:color w:val="1B3A5C"/>
                <w:sz w:val="40"/>
                <w:szCs w:val="40"/>
              </w:rPr>
              <w:t>241K</w:t>
            </w:r>
          </w:p>
          <w:p w14:paraId="2B32E958" w14:textId="77777777" w:rsidR="00C65EA5" w:rsidRDefault="00000000">
            <w:pPr>
              <w:jc w:val="center"/>
            </w:pPr>
            <w:r>
              <w:rPr>
                <w:b/>
                <w:bCs/>
                <w:color w:val="595959"/>
                <w:sz w:val="17"/>
                <w:szCs w:val="17"/>
              </w:rPr>
              <w:t>ORDERS OF PROTECTION</w:t>
            </w:r>
          </w:p>
          <w:p w14:paraId="5B2EA54A" w14:textId="77777777" w:rsidR="00C65EA5" w:rsidRDefault="00000000">
            <w:pPr>
              <w:spacing w:before="40"/>
              <w:jc w:val="center"/>
            </w:pPr>
            <w:r>
              <w:rPr>
                <w:i/>
                <w:iCs/>
                <w:color w:val="8C8C8C"/>
                <w:sz w:val="15"/>
                <w:szCs w:val="15"/>
              </w:rPr>
              <w:t>entered statewide, 2024</w:t>
            </w:r>
          </w:p>
        </w:tc>
        <w:tc>
          <w:tcPr>
            <w:tcW w:w="3360" w:type="dxa"/>
            <w:shd w:val="clear" w:color="auto" w:fill="FCF3DC"/>
            <w:tcMar>
              <w:top w:w="180" w:type="dxa"/>
              <w:left w:w="160" w:type="dxa"/>
              <w:bottom w:w="180" w:type="dxa"/>
              <w:right w:w="160" w:type="dxa"/>
            </w:tcMar>
            <w:vAlign w:val="center"/>
          </w:tcPr>
          <w:p w14:paraId="2787FD4C" w14:textId="77777777" w:rsidR="00C65EA5" w:rsidRDefault="00000000">
            <w:pPr>
              <w:spacing w:after="60"/>
              <w:jc w:val="center"/>
            </w:pPr>
            <w:r>
              <w:rPr>
                <w:b/>
                <w:bCs/>
                <w:color w:val="8A6D1A"/>
                <w:sz w:val="40"/>
                <w:szCs w:val="40"/>
              </w:rPr>
              <w:t>~2M+</w:t>
            </w:r>
          </w:p>
          <w:p w14:paraId="270D184A" w14:textId="77777777" w:rsidR="00C65EA5" w:rsidRDefault="00000000">
            <w:pPr>
              <w:jc w:val="center"/>
            </w:pPr>
            <w:r>
              <w:rPr>
                <w:b/>
                <w:bCs/>
                <w:color w:val="595959"/>
                <w:sz w:val="17"/>
                <w:szCs w:val="17"/>
              </w:rPr>
              <w:t>EST. NY ADULTS</w:t>
            </w:r>
          </w:p>
          <w:p w14:paraId="3C6993E4" w14:textId="77777777" w:rsidR="00C65EA5" w:rsidRDefault="00000000">
            <w:pPr>
              <w:spacing w:before="40"/>
              <w:jc w:val="center"/>
            </w:pPr>
            <w:r>
              <w:rPr>
                <w:i/>
                <w:iCs/>
                <w:color w:val="8C8C8C"/>
                <w:sz w:val="15"/>
                <w:szCs w:val="15"/>
              </w:rPr>
              <w:t>with lifetime IPV exposure (CDC rates applied)</w:t>
            </w:r>
          </w:p>
        </w:tc>
      </w:tr>
    </w:tbl>
    <w:p w14:paraId="04EA9D87" w14:textId="77777777" w:rsidR="00C65EA5" w:rsidRDefault="00000000">
      <w:pPr>
        <w:spacing w:before="60" w:after="200"/>
      </w:pPr>
      <w:r>
        <w:rPr>
          <w:i/>
          <w:iCs/>
          <w:color w:val="8C8C8C"/>
          <w:sz w:val="15"/>
          <w:szCs w:val="15"/>
        </w:rPr>
        <w:t>Source: NYS Office for the Prevention of Domestic Violence (OPDV), 2024 Gender-Based Violence Dashboard; NYC ENDGBV 2024 Fact Sheet.</w:t>
      </w:r>
    </w:p>
    <w:p w14:paraId="37A9F6D8" w14:textId="77777777" w:rsidR="00C65EA5" w:rsidRDefault="00000000">
      <w:pPr>
        <w:pStyle w:val="Heading2"/>
        <w:keepNext/>
      </w:pPr>
      <w:bookmarkStart w:id="16" w:name="_Toc233126275"/>
      <w:r>
        <w:t>The First State to Connect the Dots</w:t>
      </w:r>
      <w:bookmarkEnd w:id="16"/>
    </w:p>
    <w:p w14:paraId="0E6F9C28" w14:textId="77777777" w:rsidR="00C65EA5" w:rsidRDefault="00000000">
      <w:pPr>
        <w:spacing w:after="120" w:line="276" w:lineRule="auto"/>
      </w:pPr>
      <w:r>
        <w:t>New York has taken three concrete steps in 2024 alone that, taken together, make it the national leader on this issue:</w:t>
      </w:r>
    </w:p>
    <w:p w14:paraId="6AC65C48" w14:textId="77777777" w:rsidR="00C65EA5" w:rsidRDefault="00000000">
      <w:pPr>
        <w:pStyle w:val="ListParagraph"/>
        <w:numPr>
          <w:ilvl w:val="0"/>
          <w:numId w:val="2"/>
        </w:numPr>
        <w:spacing w:after="100" w:line="270" w:lineRule="auto"/>
      </w:pPr>
      <w:r>
        <w:rPr>
          <w:b/>
          <w:bCs/>
        </w:rPr>
        <w:t xml:space="preserve">The first TBI screening program embedded in domestic violence shelters in the United States. </w:t>
      </w:r>
      <w:r>
        <w:t>Volunteers of America — Greater New York (VOA-GNY) launched this pilot in 2022 across seven NYC shelters. Its published findings confirm the TBI prevalence rates found in the broader research literature.</w:t>
      </w:r>
    </w:p>
    <w:p w14:paraId="56CF275F" w14:textId="77777777" w:rsidR="00C65EA5" w:rsidRDefault="00000000">
      <w:pPr>
        <w:pStyle w:val="ListParagraph"/>
        <w:numPr>
          <w:ilvl w:val="0"/>
          <w:numId w:val="2"/>
        </w:numPr>
        <w:spacing w:after="100" w:line="270" w:lineRule="auto"/>
      </w:pPr>
      <w:r>
        <w:rPr>
          <w:b/>
          <w:bCs/>
        </w:rPr>
        <w:t>First-</w:t>
      </w:r>
      <w:proofErr w:type="gramStart"/>
      <w:r>
        <w:rPr>
          <w:b/>
          <w:bCs/>
        </w:rPr>
        <w:t>in-the-nation</w:t>
      </w:r>
      <w:proofErr w:type="gramEnd"/>
      <w:r>
        <w:rPr>
          <w:b/>
          <w:bCs/>
        </w:rPr>
        <w:t xml:space="preserve"> legislation requiring provider training. </w:t>
      </w:r>
      <w:r>
        <w:t>NYC Council Majority Leader Amanda Farías introduced Int. No. 29 in February 2024, requiring New York City to train first responders and DV service providers on TBI prevalence, symptom identification, and the long-term health impacts of repeated brain injury among domestic violence survivors.</w:t>
      </w:r>
    </w:p>
    <w:p w14:paraId="64265308" w14:textId="77777777" w:rsidR="00C65EA5" w:rsidRDefault="00000000">
      <w:pPr>
        <w:pStyle w:val="ListParagraph"/>
        <w:numPr>
          <w:ilvl w:val="0"/>
          <w:numId w:val="2"/>
        </w:numPr>
        <w:spacing w:after="100" w:line="270" w:lineRule="auto"/>
      </w:pPr>
      <w:r>
        <w:rPr>
          <w:b/>
          <w:bCs/>
        </w:rPr>
        <w:t xml:space="preserve">Coordinated state and advocacy awareness efforts. </w:t>
      </w:r>
      <w:r>
        <w:t>The NYS Department of Health and OPDV have jointly announced awareness initiatives, and Sanctuary for Families — New York's largest domestic violence service provider — has published explicit materials connecting IPV-related TBI to its frequent misdiagnosis as PTSD, calling for statewide provider training.</w:t>
      </w:r>
    </w:p>
    <w:p w14:paraId="2D4C4CD9" w14:textId="77777777" w:rsidR="00C65EA5" w:rsidRDefault="00000000">
      <w:pPr>
        <w:pStyle w:val="Heading2"/>
        <w:keepNext/>
      </w:pPr>
      <w:bookmarkStart w:id="17" w:name="_Toc233126276"/>
      <w:r>
        <w:lastRenderedPageBreak/>
        <w:t>The Gap New York Has Not Yet Closed</w:t>
      </w:r>
      <w:bookmarkEnd w:id="17"/>
    </w:p>
    <w:p w14:paraId="632CECBC" w14:textId="77777777" w:rsidR="00C65EA5" w:rsidRDefault="00000000">
      <w:pPr>
        <w:spacing w:after="200" w:line="276" w:lineRule="auto"/>
      </w:pPr>
      <w:r>
        <w:t xml:space="preserve">Int. No. 29 requires New York City to train responders and providers on the prevalence of TBI among domestic violence survivors and the long-term health impacts of repeated brain injury. It does not mention, require, or fund any treatment response — including HBOT. New York has built the diagnostic half of the pathway: awareness, screening, and training. It has not yet built the treatment half. That is the precise opening this paper is written to </w:t>
      </w:r>
      <w:proofErr w:type="gramStart"/>
      <w:r>
        <w:t>fill</w:t>
      </w:r>
      <w:proofErr w:type="gramEnd"/>
      <w:r>
        <w:t>, in New York and in every state that follows.</w:t>
      </w:r>
    </w:p>
    <w:p w14:paraId="4D82C236" w14:textId="77777777" w:rsidR="00C65EA5" w:rsidRDefault="00000000">
      <w:pPr>
        <w:pStyle w:val="Heading1"/>
        <w:keepNext/>
        <w:pBdr>
          <w:bottom w:val="single" w:sz="8" w:space="4" w:color="1B3A5C"/>
        </w:pBdr>
      </w:pPr>
      <w:bookmarkStart w:id="18" w:name="_Toc233126277"/>
      <w:r>
        <w:t>Part Five: A National Policy Roadmap</w:t>
      </w:r>
      <w:bookmarkEnd w:id="18"/>
    </w:p>
    <w:p w14:paraId="2C616A42" w14:textId="77777777" w:rsidR="00C65EA5" w:rsidRDefault="00000000">
      <w:pPr>
        <w:spacing w:after="200" w:line="276" w:lineRule="auto"/>
      </w:pPr>
      <w:r>
        <w:t>New York has demonstrated that a state can name this problem and begin building infrastructure to address it within a single legislative session. The following recommendations are designed to be adapted by any state legislature, governor's office, state health department, or coalition of domestic violence service providers — using New York's model as a floor, not a ceiling.</w:t>
      </w:r>
    </w:p>
    <w:p w14:paraId="30363B3F" w14:textId="77777777" w:rsidR="00C65EA5" w:rsidRDefault="00000000">
      <w:pPr>
        <w:pStyle w:val="Heading2"/>
        <w:keepNext/>
      </w:pPr>
      <w:bookmarkStart w:id="19" w:name="_Toc233126278"/>
      <w:r>
        <w:t>Recommendations for State and Local Policymakers</w:t>
      </w:r>
      <w:bookmarkEnd w:id="19"/>
    </w:p>
    <w:p w14:paraId="2B8BAE7D" w14:textId="77777777" w:rsidR="00C65EA5" w:rsidRDefault="00000000">
      <w:pPr>
        <w:pStyle w:val="ListParagraph"/>
        <w:numPr>
          <w:ilvl w:val="0"/>
          <w:numId w:val="2"/>
        </w:numPr>
        <w:spacing w:after="100" w:line="270" w:lineRule="auto"/>
      </w:pPr>
      <w:r>
        <w:rPr>
          <w:b/>
          <w:bCs/>
        </w:rPr>
        <w:t xml:space="preserve">1. Mandate TBI awareness training, following New York's Int. No. 29 model. </w:t>
      </w:r>
      <w:r>
        <w:t>Require first responders, emergency department staff, and domestic violence service providers to receive training on the prevalence and symptoms of IPV-related brain injury, including hypoxic injury from strangulation.</w:t>
      </w:r>
    </w:p>
    <w:p w14:paraId="28B1B9A5" w14:textId="77777777" w:rsidR="00C65EA5" w:rsidRDefault="00000000">
      <w:pPr>
        <w:pStyle w:val="ListParagraph"/>
        <w:numPr>
          <w:ilvl w:val="0"/>
          <w:numId w:val="2"/>
        </w:numPr>
        <w:spacing w:after="100" w:line="270" w:lineRule="auto"/>
      </w:pPr>
      <w:r>
        <w:rPr>
          <w:b/>
          <w:bCs/>
        </w:rPr>
        <w:t xml:space="preserve">2. Fund TBI screening at the point of first contact, following the VOA-GNY model. </w:t>
      </w:r>
      <w:r>
        <w:t>Embed validated brain injury screening tools directly into shelter intake, justice center processing, and emergency department protocols for IPV survivors — not as a separate referral, but as a standard part of intake.</w:t>
      </w:r>
    </w:p>
    <w:p w14:paraId="452BA650" w14:textId="77777777" w:rsidR="00C65EA5" w:rsidRDefault="00000000">
      <w:pPr>
        <w:pStyle w:val="ListParagraph"/>
        <w:numPr>
          <w:ilvl w:val="0"/>
          <w:numId w:val="2"/>
        </w:numPr>
        <w:spacing w:after="100" w:line="270" w:lineRule="auto"/>
      </w:pPr>
      <w:r>
        <w:rPr>
          <w:b/>
          <w:bCs/>
        </w:rPr>
        <w:t xml:space="preserve">3. Write a treatment pathway into the legislation — not just a training mandate. </w:t>
      </w:r>
      <w:r>
        <w:t>Once a survivor is screened and identified as having a probable brain injury, state policy should specify what happens next. Currently, in every state including New York, the answer is: nothing specific. HBOT should be evaluated and included as a treatment option in any state-funded or state-mandated response pathway.</w:t>
      </w:r>
    </w:p>
    <w:p w14:paraId="36982DD2" w14:textId="77777777" w:rsidR="00C65EA5" w:rsidRDefault="00000000">
      <w:pPr>
        <w:pStyle w:val="ListParagraph"/>
        <w:numPr>
          <w:ilvl w:val="0"/>
          <w:numId w:val="2"/>
        </w:numPr>
        <w:spacing w:after="100" w:line="270" w:lineRule="auto"/>
      </w:pPr>
      <w:r>
        <w:rPr>
          <w:b/>
          <w:bCs/>
        </w:rPr>
        <w:t xml:space="preserve">4. Fund a pilot program connecting screened survivors to HBOT, modeled on HBOT4KYVETS. </w:t>
      </w:r>
      <w:r>
        <w:t>Kentucky's HBOT4KYVETS initiative has demonstrated a workable model for state-supported HBOT access for a brain-injured population. A parallel pilot — screening DV/IPV survivors at shelters and justice centers, then connecting screened-positive survivors to HBOT treatment and tracking outcomes — would generate the first dedicated evidence base for this population.</w:t>
      </w:r>
    </w:p>
    <w:p w14:paraId="07229434" w14:textId="77777777" w:rsidR="00C65EA5" w:rsidRDefault="00000000">
      <w:pPr>
        <w:pStyle w:val="ListParagraph"/>
        <w:numPr>
          <w:ilvl w:val="0"/>
          <w:numId w:val="2"/>
        </w:numPr>
        <w:spacing w:after="100" w:line="270" w:lineRule="auto"/>
      </w:pPr>
      <w:r>
        <w:rPr>
          <w:b/>
          <w:bCs/>
        </w:rPr>
        <w:t xml:space="preserve">5. Direct research funding toward IPV-related brain injury specifically. </w:t>
      </w:r>
      <w:r>
        <w:t>State health departments and public universities should be directed to fund research into IPV-related TBI and HAI prevalence, screening tools, and treatment outcomes, closing the research gap that has left this population decades behind veterans and athletes in evidence generation.</w:t>
      </w:r>
    </w:p>
    <w:p w14:paraId="549C4A3C" w14:textId="77777777" w:rsidR="00C65EA5" w:rsidRDefault="00000000">
      <w:pPr>
        <w:pStyle w:val="ListParagraph"/>
        <w:numPr>
          <w:ilvl w:val="0"/>
          <w:numId w:val="2"/>
        </w:numPr>
        <w:spacing w:after="100" w:line="270" w:lineRule="auto"/>
      </w:pPr>
      <w:r>
        <w:rPr>
          <w:b/>
          <w:bCs/>
        </w:rPr>
        <w:t xml:space="preserve">6. Require strangulation to be documented and charged as a brain injury event, not only as an assault. </w:t>
      </w:r>
      <w:r>
        <w:t>Law enforcement and prosecutorial training and charging guidance should reflect strangulation's role as a hypoxic brain injury mechanism, not merely a violent act — improving both the legal record and the medical referral that follows.</w:t>
      </w:r>
    </w:p>
    <w:p w14:paraId="0AD8B43F" w14:textId="77777777" w:rsidR="00C65EA5" w:rsidRDefault="00000000">
      <w:pPr>
        <w:pStyle w:val="Heading2"/>
        <w:keepNext/>
      </w:pPr>
      <w:bookmarkStart w:id="20" w:name="_Toc233126279"/>
      <w:r>
        <w:t>Why Every State Should Act — Not Only New York</w:t>
      </w:r>
      <w:bookmarkEnd w:id="20"/>
    </w:p>
    <w:p w14:paraId="36877D33" w14:textId="77777777" w:rsidR="00C65EA5" w:rsidRDefault="00000000">
      <w:pPr>
        <w:spacing w:after="160" w:line="276" w:lineRule="auto"/>
      </w:pPr>
      <w:r>
        <w:t xml:space="preserve">New York's 2024 dashboard data and the national CDC prevalence figures cited throughout this paper point to the same conclusion from two directions: this is not a New York problem, a coastal problem, or an urban problem. Intimate partner violence occurs at comparable rates across every state, and the underlying </w:t>
      </w:r>
      <w:r>
        <w:lastRenderedPageBreak/>
        <w:t xml:space="preserve">physiology of IPV-related brain injury does not vary by geography. Every state with a domestic violence shelter system, a justice center, or an emergency department is already serving a population of survivors carrying an undiagnosed, untreated brain injury — </w:t>
      </w:r>
      <w:proofErr w:type="gramStart"/>
      <w:r>
        <w:t>whether or not</w:t>
      </w:r>
      <w:proofErr w:type="gramEnd"/>
      <w:r>
        <w:t xml:space="preserve"> that state has begun to measure it.</w:t>
      </w:r>
    </w:p>
    <w:p w14:paraId="06DADCBB" w14:textId="77777777" w:rsidR="00C65EA5" w:rsidRDefault="00000000">
      <w:pPr>
        <w:spacing w:after="240" w:line="276" w:lineRule="auto"/>
      </w:pPr>
      <w:r>
        <w:t>New York took the first step nationally because it had the data, the advocacy infrastructure, and the political will to act on a single legislative session's worth of momentum. Other states do not need to wait for their own VOA-GNY pilot or their own Int. No. 29 to begin. The research base, the legislative model, and the treatment evidence already exist. What is missing in every state — including New York — is the final link: connecting a documented brain injury to a treatment capable of healing it.</w:t>
      </w:r>
    </w:p>
    <w:tbl>
      <w:tblPr>
        <w:tblW w:w="10080" w:type="dxa"/>
        <w:tblBorders>
          <w:top w:val="single" w:sz="1" w:space="0" w:color="FBEAEC"/>
          <w:left w:val="single" w:sz="24" w:space="0" w:color="B0202A"/>
          <w:bottom w:val="single" w:sz="1" w:space="0" w:color="FBEAEC"/>
          <w:right w:val="single" w:sz="1" w:space="0" w:color="FBEAE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65EA5" w14:paraId="435AB3A5" w14:textId="77777777">
        <w:tblPrEx>
          <w:tblCellMar>
            <w:top w:w="0" w:type="dxa"/>
            <w:bottom w:w="0" w:type="dxa"/>
          </w:tblCellMar>
        </w:tblPrEx>
        <w:tc>
          <w:tcPr>
            <w:tcW w:w="10080" w:type="dxa"/>
            <w:shd w:val="clear" w:color="auto" w:fill="FBEAEC"/>
            <w:tcMar>
              <w:top w:w="160" w:type="dxa"/>
              <w:left w:w="220" w:type="dxa"/>
              <w:bottom w:w="160" w:type="dxa"/>
              <w:right w:w="220" w:type="dxa"/>
            </w:tcMar>
          </w:tcPr>
          <w:p w14:paraId="1552A530" w14:textId="77777777" w:rsidR="00C65EA5" w:rsidRDefault="00000000">
            <w:pPr>
              <w:spacing w:after="80"/>
            </w:pPr>
            <w:r>
              <w:rPr>
                <w:b/>
                <w:bCs/>
                <w:color w:val="B0202A"/>
              </w:rPr>
              <w:t>The Core Argument, in One Paragraph</w:t>
            </w:r>
          </w:p>
          <w:p w14:paraId="1E97DF35" w14:textId="77777777" w:rsidR="00C65EA5" w:rsidRDefault="00000000">
            <w:pPr>
              <w:spacing w:line="270" w:lineRule="auto"/>
            </w:pPr>
            <w:r>
              <w:rPr>
                <w:sz w:val="20"/>
                <w:szCs w:val="20"/>
              </w:rPr>
              <w:t xml:space="preserve">Three out of four domestic violence survivors who experience physical abuse sustain a brain injury. That injury is almost never screened for, almost never diagnosed, and almost never treated as the physical wound it is — it is absorbed instead into psychiatric labels that describe its symptoms without addressing its cause. A validated, evidence-supported treatment for traumatic brain injury already exists. New York has shown that a state can name this problem in a single legislative session. The next step — in New York and everywhere else — is to connect the diagnosis this country has finally begun to make to the treatment that can </w:t>
            </w:r>
            <w:proofErr w:type="gramStart"/>
            <w:r>
              <w:rPr>
                <w:sz w:val="20"/>
                <w:szCs w:val="20"/>
              </w:rPr>
              <w:t>actually heal</w:t>
            </w:r>
            <w:proofErr w:type="gramEnd"/>
            <w:r>
              <w:rPr>
                <w:sz w:val="20"/>
                <w:szCs w:val="20"/>
              </w:rPr>
              <w:t xml:space="preserve"> it.</w:t>
            </w:r>
          </w:p>
        </w:tc>
      </w:tr>
    </w:tbl>
    <w:p w14:paraId="09AA8E0C" w14:textId="77777777" w:rsidR="00C65EA5" w:rsidRDefault="00000000">
      <w:pPr>
        <w:pStyle w:val="Heading1"/>
        <w:keepNext/>
        <w:pBdr>
          <w:bottom w:val="single" w:sz="8" w:space="4" w:color="1B3A5C"/>
        </w:pBdr>
      </w:pPr>
      <w:bookmarkStart w:id="21" w:name="_Toc233126280"/>
      <w:r>
        <w:t>Part Six: A National Partnership Landscape</w:t>
      </w:r>
      <w:bookmarkEnd w:id="21"/>
    </w:p>
    <w:p w14:paraId="6F181250" w14:textId="77777777" w:rsidR="00C65EA5" w:rsidRDefault="00000000">
      <w:pPr>
        <w:spacing w:after="160" w:line="276" w:lineRule="auto"/>
      </w:pPr>
      <w:r>
        <w:t>New York is not the only state with the institutional infrastructure to act on this paper's recommendations. Every state administers domestic violence funding in some form, but the governance models vary widely — and those differences matter for advocacy strategy. Three distinct structures appear across the states surveyed below, and each represents a different kind of partner for TreatNOW's HBOT advocacy.</w:t>
      </w:r>
    </w:p>
    <w:p w14:paraId="09836A7F" w14:textId="77777777" w:rsidR="00C65EA5" w:rsidRDefault="00000000">
      <w:pPr>
        <w:pStyle w:val="ListParagraph"/>
        <w:numPr>
          <w:ilvl w:val="0"/>
          <w:numId w:val="2"/>
        </w:numPr>
        <w:spacing w:after="100" w:line="270" w:lineRule="auto"/>
      </w:pPr>
      <w:r>
        <w:rPr>
          <w:b/>
          <w:bCs/>
        </w:rPr>
        <w:t xml:space="preserve">Standalone </w:t>
      </w:r>
      <w:proofErr w:type="gramStart"/>
      <w:r>
        <w:rPr>
          <w:b/>
          <w:bCs/>
        </w:rPr>
        <w:t>state offices</w:t>
      </w:r>
      <w:proofErr w:type="gramEnd"/>
      <w:r>
        <w:rPr>
          <w:b/>
          <w:bCs/>
        </w:rPr>
        <w:t xml:space="preserve">. </w:t>
      </w:r>
      <w:r>
        <w:t>A small number of states, like New York, have a distinct government office dedicated to domestic violence policy, with its own director, staff, and budget line — closely mirroring the OPDV model this paper is built around.</w:t>
      </w:r>
    </w:p>
    <w:p w14:paraId="11993F1D" w14:textId="77777777" w:rsidR="00C65EA5" w:rsidRDefault="00000000">
      <w:pPr>
        <w:pStyle w:val="ListParagraph"/>
        <w:numPr>
          <w:ilvl w:val="0"/>
          <w:numId w:val="2"/>
        </w:numPr>
        <w:spacing w:after="100" w:line="270" w:lineRule="auto"/>
      </w:pPr>
      <w:r>
        <w:rPr>
          <w:b/>
          <w:bCs/>
        </w:rPr>
        <w:t xml:space="preserve">DV programs nested within a larger health or human-services department. </w:t>
      </w:r>
      <w:r>
        <w:t xml:space="preserve">The most common model nationally. These carry real budgets and dedicated </w:t>
      </w:r>
      <w:proofErr w:type="gramStart"/>
      <w:r>
        <w:t>staff, but</w:t>
      </w:r>
      <w:proofErr w:type="gramEnd"/>
      <w:r>
        <w:t xml:space="preserve"> operate as a program or bureau inside a larger department rather than as a freestanding office.</w:t>
      </w:r>
    </w:p>
    <w:p w14:paraId="3F16FF1F" w14:textId="77777777" w:rsidR="00C65EA5" w:rsidRDefault="00000000">
      <w:pPr>
        <w:pStyle w:val="ListParagraph"/>
        <w:numPr>
          <w:ilvl w:val="0"/>
          <w:numId w:val="2"/>
        </w:numPr>
        <w:spacing w:after="100" w:line="270" w:lineRule="auto"/>
      </w:pPr>
      <w:r>
        <w:rPr>
          <w:b/>
          <w:bCs/>
        </w:rPr>
        <w:t xml:space="preserve">Governor-appointed councils or commissions. </w:t>
      </w:r>
      <w:r>
        <w:t>Several states pair their funding agency with a separate, policy-facing council or commission that reports directly to the Governor or Lieutenant Governor — often the more promising entry point for a policy and legislative pitch like this one, since these bodies exist specifically to generate recommendations rather than administer grants.</w:t>
      </w:r>
    </w:p>
    <w:p w14:paraId="70461BF4" w14:textId="77777777" w:rsidR="00C65EA5" w:rsidRDefault="00C65EA5">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1"/>
        <w:gridCol w:w="3582"/>
        <w:gridCol w:w="2588"/>
        <w:gridCol w:w="2469"/>
      </w:tblGrid>
      <w:tr w:rsidR="00C65EA5" w14:paraId="663F30BF" w14:textId="77777777">
        <w:tblPrEx>
          <w:tblCellMar>
            <w:top w:w="0" w:type="dxa"/>
            <w:bottom w:w="0" w:type="dxa"/>
          </w:tblCellMar>
        </w:tblPrEx>
        <w:trPr>
          <w:tblHeader/>
        </w:trPr>
        <w:tc>
          <w:tcPr>
            <w:tcW w:w="1400" w:type="dxa"/>
            <w:tcBorders>
              <w:top w:val="single" w:sz="2" w:space="0" w:color="C9D6E2"/>
              <w:left w:val="single" w:sz="2" w:space="0" w:color="C9D6E2"/>
              <w:bottom w:val="single" w:sz="2" w:space="0" w:color="C9D6E2"/>
              <w:right w:val="single" w:sz="2" w:space="0" w:color="C9D6E2"/>
            </w:tcBorders>
            <w:shd w:val="clear" w:color="auto" w:fill="1B3A5C"/>
            <w:tcMar>
              <w:top w:w="100" w:type="dxa"/>
              <w:left w:w="120" w:type="dxa"/>
              <w:bottom w:w="100" w:type="dxa"/>
              <w:right w:w="120" w:type="dxa"/>
            </w:tcMar>
            <w:vAlign w:val="center"/>
          </w:tcPr>
          <w:p w14:paraId="4CAB5BB9" w14:textId="77777777" w:rsidR="00C65EA5" w:rsidRDefault="00000000">
            <w:r>
              <w:rPr>
                <w:b/>
                <w:bCs/>
                <w:color w:val="FFFFFF"/>
                <w:sz w:val="18"/>
                <w:szCs w:val="18"/>
              </w:rPr>
              <w:t>State</w:t>
            </w:r>
          </w:p>
        </w:tc>
        <w:tc>
          <w:tcPr>
            <w:tcW w:w="3600" w:type="dxa"/>
            <w:tcBorders>
              <w:top w:val="single" w:sz="2" w:space="0" w:color="C9D6E2"/>
              <w:left w:val="single" w:sz="2" w:space="0" w:color="C9D6E2"/>
              <w:bottom w:val="single" w:sz="2" w:space="0" w:color="C9D6E2"/>
              <w:right w:val="single" w:sz="2" w:space="0" w:color="C9D6E2"/>
            </w:tcBorders>
            <w:shd w:val="clear" w:color="auto" w:fill="1B3A5C"/>
            <w:tcMar>
              <w:top w:w="100" w:type="dxa"/>
              <w:left w:w="120" w:type="dxa"/>
              <w:bottom w:w="100" w:type="dxa"/>
              <w:right w:w="120" w:type="dxa"/>
            </w:tcMar>
            <w:vAlign w:val="center"/>
          </w:tcPr>
          <w:p w14:paraId="64EA9A40" w14:textId="77777777" w:rsidR="00C65EA5" w:rsidRDefault="00000000">
            <w:r>
              <w:rPr>
                <w:b/>
                <w:bCs/>
                <w:color w:val="FFFFFF"/>
                <w:sz w:val="18"/>
                <w:szCs w:val="18"/>
              </w:rPr>
              <w:t>Office / Body</w:t>
            </w:r>
          </w:p>
        </w:tc>
        <w:tc>
          <w:tcPr>
            <w:tcW w:w="2600" w:type="dxa"/>
            <w:tcBorders>
              <w:top w:val="single" w:sz="2" w:space="0" w:color="C9D6E2"/>
              <w:left w:val="single" w:sz="2" w:space="0" w:color="C9D6E2"/>
              <w:bottom w:val="single" w:sz="2" w:space="0" w:color="C9D6E2"/>
              <w:right w:val="single" w:sz="2" w:space="0" w:color="C9D6E2"/>
            </w:tcBorders>
            <w:shd w:val="clear" w:color="auto" w:fill="1B3A5C"/>
            <w:tcMar>
              <w:top w:w="100" w:type="dxa"/>
              <w:left w:w="120" w:type="dxa"/>
              <w:bottom w:w="100" w:type="dxa"/>
              <w:right w:w="120" w:type="dxa"/>
            </w:tcMar>
            <w:vAlign w:val="center"/>
          </w:tcPr>
          <w:p w14:paraId="172C857C" w14:textId="77777777" w:rsidR="00C65EA5" w:rsidRDefault="00000000">
            <w:r>
              <w:rPr>
                <w:b/>
                <w:bCs/>
                <w:color w:val="FFFFFF"/>
                <w:sz w:val="18"/>
                <w:szCs w:val="18"/>
              </w:rPr>
              <w:t>Parent Structure</w:t>
            </w:r>
          </w:p>
        </w:tc>
        <w:tc>
          <w:tcPr>
            <w:tcW w:w="2480" w:type="dxa"/>
            <w:tcBorders>
              <w:top w:val="single" w:sz="2" w:space="0" w:color="C9D6E2"/>
              <w:left w:val="single" w:sz="2" w:space="0" w:color="C9D6E2"/>
              <w:bottom w:val="single" w:sz="2" w:space="0" w:color="C9D6E2"/>
              <w:right w:val="single" w:sz="2" w:space="0" w:color="C9D6E2"/>
            </w:tcBorders>
            <w:shd w:val="clear" w:color="auto" w:fill="1B3A5C"/>
            <w:tcMar>
              <w:top w:w="100" w:type="dxa"/>
              <w:left w:w="120" w:type="dxa"/>
              <w:bottom w:w="100" w:type="dxa"/>
              <w:right w:w="120" w:type="dxa"/>
            </w:tcMar>
            <w:vAlign w:val="center"/>
          </w:tcPr>
          <w:p w14:paraId="22099FAB" w14:textId="77777777" w:rsidR="00C65EA5" w:rsidRDefault="00000000">
            <w:r>
              <w:rPr>
                <w:b/>
                <w:bCs/>
                <w:color w:val="FFFFFF"/>
                <w:sz w:val="18"/>
                <w:szCs w:val="18"/>
              </w:rPr>
              <w:t>Best Entry Point</w:t>
            </w:r>
          </w:p>
        </w:tc>
      </w:tr>
      <w:tr w:rsidR="00C65EA5" w14:paraId="42C372FF" w14:textId="77777777">
        <w:tblPrEx>
          <w:tblCellMar>
            <w:top w:w="0" w:type="dxa"/>
            <w:bottom w:w="0" w:type="dxa"/>
          </w:tblCellMar>
        </w:tblPrEx>
        <w:tc>
          <w:tcPr>
            <w:tcW w:w="14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213DF01F" w14:textId="77777777" w:rsidR="00C65EA5" w:rsidRDefault="00000000">
            <w:r>
              <w:rPr>
                <w:sz w:val="18"/>
                <w:szCs w:val="18"/>
              </w:rPr>
              <w:t>New York</w:t>
            </w:r>
          </w:p>
        </w:tc>
        <w:tc>
          <w:tcPr>
            <w:tcW w:w="3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60319BD8" w14:textId="77777777" w:rsidR="00C65EA5" w:rsidRDefault="00000000">
            <w:r>
              <w:rPr>
                <w:sz w:val="18"/>
                <w:szCs w:val="18"/>
              </w:rPr>
              <w:t>Office for the Prevention of Domestic Violence (OPDV)</w:t>
            </w:r>
          </w:p>
        </w:tc>
        <w:tc>
          <w:tcPr>
            <w:tcW w:w="2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6A348B5A" w14:textId="77777777" w:rsidR="00C65EA5" w:rsidRDefault="00000000">
            <w:r>
              <w:rPr>
                <w:sz w:val="18"/>
                <w:szCs w:val="18"/>
              </w:rPr>
              <w:t>Standalone state office</w:t>
            </w:r>
          </w:p>
        </w:tc>
        <w:tc>
          <w:tcPr>
            <w:tcW w:w="248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7CD2EC62" w14:textId="77777777" w:rsidR="00C65EA5" w:rsidRDefault="00000000">
            <w:r>
              <w:rPr>
                <w:sz w:val="18"/>
                <w:szCs w:val="18"/>
              </w:rPr>
              <w:t>OPDV Executive Director / policy staff — existing model</w:t>
            </w:r>
          </w:p>
        </w:tc>
      </w:tr>
      <w:tr w:rsidR="00C65EA5" w14:paraId="706FF91A" w14:textId="77777777">
        <w:tblPrEx>
          <w:tblCellMar>
            <w:top w:w="0" w:type="dxa"/>
            <w:bottom w:w="0" w:type="dxa"/>
          </w:tblCellMar>
        </w:tblPrEx>
        <w:tc>
          <w:tcPr>
            <w:tcW w:w="14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5F1F832A" w14:textId="77777777" w:rsidR="00C65EA5" w:rsidRDefault="00000000">
            <w:r>
              <w:rPr>
                <w:sz w:val="18"/>
                <w:szCs w:val="18"/>
              </w:rPr>
              <w:t>Idaho</w:t>
            </w:r>
          </w:p>
        </w:tc>
        <w:tc>
          <w:tcPr>
            <w:tcW w:w="36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56F7DCFD" w14:textId="77777777" w:rsidR="00C65EA5" w:rsidRDefault="00000000">
            <w:r>
              <w:rPr>
                <w:sz w:val="18"/>
                <w:szCs w:val="18"/>
              </w:rPr>
              <w:t>Idaho Council on Domestic Violence and Victim Assistance (ICDV)</w:t>
            </w:r>
          </w:p>
        </w:tc>
        <w:tc>
          <w:tcPr>
            <w:tcW w:w="26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7DE5C3FA" w14:textId="77777777" w:rsidR="00C65EA5" w:rsidRDefault="00000000">
            <w:r>
              <w:rPr>
                <w:sz w:val="18"/>
                <w:szCs w:val="18"/>
              </w:rPr>
              <w:t>Standalone state office</w:t>
            </w:r>
          </w:p>
        </w:tc>
        <w:tc>
          <w:tcPr>
            <w:tcW w:w="248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729C4780" w14:textId="77777777" w:rsidR="00C65EA5" w:rsidRDefault="00000000">
            <w:r>
              <w:rPr>
                <w:sz w:val="18"/>
                <w:szCs w:val="18"/>
              </w:rPr>
              <w:t>ICDV program staff</w:t>
            </w:r>
          </w:p>
        </w:tc>
      </w:tr>
      <w:tr w:rsidR="00C65EA5" w14:paraId="637960F7" w14:textId="77777777">
        <w:tblPrEx>
          <w:tblCellMar>
            <w:top w:w="0" w:type="dxa"/>
            <w:bottom w:w="0" w:type="dxa"/>
          </w:tblCellMar>
        </w:tblPrEx>
        <w:tc>
          <w:tcPr>
            <w:tcW w:w="14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12B4412D" w14:textId="77777777" w:rsidR="00C65EA5" w:rsidRDefault="00000000">
            <w:r>
              <w:rPr>
                <w:sz w:val="18"/>
                <w:szCs w:val="18"/>
              </w:rPr>
              <w:t>Florida</w:t>
            </w:r>
          </w:p>
        </w:tc>
        <w:tc>
          <w:tcPr>
            <w:tcW w:w="3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28351006" w14:textId="77777777" w:rsidR="00C65EA5" w:rsidRDefault="00000000">
            <w:r>
              <w:rPr>
                <w:sz w:val="18"/>
                <w:szCs w:val="18"/>
              </w:rPr>
              <w:t>Office of Domestic Violence (ODV)</w:t>
            </w:r>
          </w:p>
        </w:tc>
        <w:tc>
          <w:tcPr>
            <w:tcW w:w="2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16B48442" w14:textId="77777777" w:rsidR="00C65EA5" w:rsidRDefault="00000000">
            <w:r>
              <w:rPr>
                <w:sz w:val="18"/>
                <w:szCs w:val="18"/>
              </w:rPr>
              <w:t>Dept. of Children and Families</w:t>
            </w:r>
          </w:p>
        </w:tc>
        <w:tc>
          <w:tcPr>
            <w:tcW w:w="248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264295CB" w14:textId="77777777" w:rsidR="00C65EA5" w:rsidRDefault="00000000">
            <w:r>
              <w:rPr>
                <w:sz w:val="18"/>
                <w:szCs w:val="18"/>
              </w:rPr>
              <w:t xml:space="preserve">ODV </w:t>
            </w:r>
            <w:proofErr w:type="gramStart"/>
            <w:r>
              <w:rPr>
                <w:sz w:val="18"/>
                <w:szCs w:val="18"/>
              </w:rPr>
              <w:t>oversight</w:t>
            </w:r>
            <w:proofErr w:type="gramEnd"/>
            <w:r>
              <w:rPr>
                <w:sz w:val="18"/>
                <w:szCs w:val="18"/>
              </w:rPr>
              <w:t xml:space="preserve"> staff</w:t>
            </w:r>
          </w:p>
        </w:tc>
      </w:tr>
      <w:tr w:rsidR="00C65EA5" w14:paraId="36147BE4" w14:textId="77777777">
        <w:tblPrEx>
          <w:tblCellMar>
            <w:top w:w="0" w:type="dxa"/>
            <w:bottom w:w="0" w:type="dxa"/>
          </w:tblCellMar>
        </w:tblPrEx>
        <w:tc>
          <w:tcPr>
            <w:tcW w:w="14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4289C3DD" w14:textId="77777777" w:rsidR="00C65EA5" w:rsidRDefault="00000000">
            <w:r>
              <w:rPr>
                <w:sz w:val="18"/>
                <w:szCs w:val="18"/>
              </w:rPr>
              <w:lastRenderedPageBreak/>
              <w:t>New Jersey</w:t>
            </w:r>
          </w:p>
        </w:tc>
        <w:tc>
          <w:tcPr>
            <w:tcW w:w="36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3A2BD0D9" w14:textId="77777777" w:rsidR="00C65EA5" w:rsidRDefault="00000000">
            <w:r>
              <w:rPr>
                <w:sz w:val="18"/>
                <w:szCs w:val="18"/>
              </w:rPr>
              <w:t>Division on Women (DOW); DV Fatality Review Board</w:t>
            </w:r>
          </w:p>
        </w:tc>
        <w:tc>
          <w:tcPr>
            <w:tcW w:w="26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3DF7ED53" w14:textId="77777777" w:rsidR="00C65EA5" w:rsidRDefault="00000000">
            <w:r>
              <w:rPr>
                <w:sz w:val="18"/>
                <w:szCs w:val="18"/>
              </w:rPr>
              <w:t>Dept. of Children and Families</w:t>
            </w:r>
          </w:p>
        </w:tc>
        <w:tc>
          <w:tcPr>
            <w:tcW w:w="248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6B58507B" w14:textId="77777777" w:rsidR="00C65EA5" w:rsidRDefault="00000000">
            <w:r>
              <w:rPr>
                <w:sz w:val="18"/>
                <w:szCs w:val="18"/>
              </w:rPr>
              <w:t>DOW policy staff; Fatality Review Board (Governor-appointed)</w:t>
            </w:r>
          </w:p>
        </w:tc>
      </w:tr>
      <w:tr w:rsidR="00C65EA5" w14:paraId="13748445" w14:textId="77777777">
        <w:tblPrEx>
          <w:tblCellMar>
            <w:top w:w="0" w:type="dxa"/>
            <w:bottom w:w="0" w:type="dxa"/>
          </w:tblCellMar>
        </w:tblPrEx>
        <w:tc>
          <w:tcPr>
            <w:tcW w:w="14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4AE1A162" w14:textId="77777777" w:rsidR="00C65EA5" w:rsidRDefault="00000000">
            <w:r>
              <w:rPr>
                <w:sz w:val="18"/>
                <w:szCs w:val="18"/>
              </w:rPr>
              <w:t>Massachusetts</w:t>
            </w:r>
          </w:p>
        </w:tc>
        <w:tc>
          <w:tcPr>
            <w:tcW w:w="3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4CF91859" w14:textId="77777777" w:rsidR="00C65EA5" w:rsidRDefault="00000000">
            <w:r>
              <w:rPr>
                <w:sz w:val="18"/>
                <w:szCs w:val="18"/>
              </w:rPr>
              <w:t>Division of Sexual and Domestic Violence Prevention and Services; Governor's Council to Address SA, DV, and Human Trafficking</w:t>
            </w:r>
          </w:p>
        </w:tc>
        <w:tc>
          <w:tcPr>
            <w:tcW w:w="2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0B27EFD1" w14:textId="77777777" w:rsidR="00C65EA5" w:rsidRDefault="00000000">
            <w:r>
              <w:rPr>
                <w:sz w:val="18"/>
                <w:szCs w:val="18"/>
              </w:rPr>
              <w:t>Dept. of Public Health (Division); Governor/Lt. Governor's office (Council)</w:t>
            </w:r>
          </w:p>
        </w:tc>
        <w:tc>
          <w:tcPr>
            <w:tcW w:w="248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1627E478" w14:textId="77777777" w:rsidR="00C65EA5" w:rsidRDefault="00000000">
            <w:r>
              <w:rPr>
                <w:sz w:val="18"/>
                <w:szCs w:val="18"/>
              </w:rPr>
              <w:t>Governor's Council — policy-facing, chaired by Lt. Governor</w:t>
            </w:r>
          </w:p>
        </w:tc>
      </w:tr>
      <w:tr w:rsidR="00C65EA5" w14:paraId="0D611D11" w14:textId="77777777">
        <w:tblPrEx>
          <w:tblCellMar>
            <w:top w:w="0" w:type="dxa"/>
            <w:bottom w:w="0" w:type="dxa"/>
          </w:tblCellMar>
        </w:tblPrEx>
        <w:tc>
          <w:tcPr>
            <w:tcW w:w="14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78031923" w14:textId="77777777" w:rsidR="00C65EA5" w:rsidRDefault="00000000">
            <w:r>
              <w:rPr>
                <w:sz w:val="18"/>
                <w:szCs w:val="18"/>
              </w:rPr>
              <w:t>Illinois</w:t>
            </w:r>
          </w:p>
        </w:tc>
        <w:tc>
          <w:tcPr>
            <w:tcW w:w="36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29E85E42" w14:textId="77777777" w:rsidR="00C65EA5" w:rsidRDefault="00000000">
            <w:r>
              <w:rPr>
                <w:sz w:val="18"/>
                <w:szCs w:val="18"/>
              </w:rPr>
              <w:t>Domestic Violence Prevention &amp; Intervention Bureau; Illinois Criminal Justice Information Authority (ICJIA)</w:t>
            </w:r>
          </w:p>
        </w:tc>
        <w:tc>
          <w:tcPr>
            <w:tcW w:w="26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5274DE45" w14:textId="77777777" w:rsidR="00C65EA5" w:rsidRDefault="00000000">
            <w:r>
              <w:rPr>
                <w:sz w:val="18"/>
                <w:szCs w:val="18"/>
              </w:rPr>
              <w:t>Dept. of Human Services (Bureau); independent state agency (ICJIA)</w:t>
            </w:r>
          </w:p>
        </w:tc>
        <w:tc>
          <w:tcPr>
            <w:tcW w:w="248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687FE42A" w14:textId="77777777" w:rsidR="00C65EA5" w:rsidRDefault="00000000">
            <w:r>
              <w:rPr>
                <w:sz w:val="18"/>
                <w:szCs w:val="18"/>
              </w:rPr>
              <w:t>ICJIA — manages the 2025–2029 statewide violence prevention plan</w:t>
            </w:r>
          </w:p>
        </w:tc>
      </w:tr>
      <w:tr w:rsidR="00C65EA5" w14:paraId="5ECC603D" w14:textId="77777777">
        <w:tblPrEx>
          <w:tblCellMar>
            <w:top w:w="0" w:type="dxa"/>
            <w:bottom w:w="0" w:type="dxa"/>
          </w:tblCellMar>
        </w:tblPrEx>
        <w:tc>
          <w:tcPr>
            <w:tcW w:w="14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61A4C7AD" w14:textId="77777777" w:rsidR="00C65EA5" w:rsidRDefault="00000000">
            <w:r>
              <w:rPr>
                <w:sz w:val="18"/>
                <w:szCs w:val="18"/>
              </w:rPr>
              <w:t>Pennsylvania</w:t>
            </w:r>
          </w:p>
        </w:tc>
        <w:tc>
          <w:tcPr>
            <w:tcW w:w="3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098D2206" w14:textId="77777777" w:rsidR="00C65EA5" w:rsidRDefault="00000000">
            <w:r>
              <w:rPr>
                <w:sz w:val="18"/>
                <w:szCs w:val="18"/>
              </w:rPr>
              <w:t>DV services line item; Pennsylvania Coalition Against Domestic Violence (PCADV) as lead advocate</w:t>
            </w:r>
          </w:p>
        </w:tc>
        <w:tc>
          <w:tcPr>
            <w:tcW w:w="2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065F026C" w14:textId="77777777" w:rsidR="00C65EA5" w:rsidRDefault="00000000">
            <w:r>
              <w:rPr>
                <w:sz w:val="18"/>
                <w:szCs w:val="18"/>
              </w:rPr>
              <w:t>Dept. of Human Services</w:t>
            </w:r>
          </w:p>
        </w:tc>
        <w:tc>
          <w:tcPr>
            <w:tcW w:w="248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05EC8C3B" w14:textId="77777777" w:rsidR="00C65EA5" w:rsidRDefault="00000000">
            <w:r>
              <w:rPr>
                <w:sz w:val="18"/>
                <w:szCs w:val="18"/>
              </w:rPr>
              <w:t>PCADV (</w:t>
            </w:r>
            <w:proofErr w:type="gramStart"/>
            <w:r>
              <w:rPr>
                <w:sz w:val="18"/>
                <w:szCs w:val="18"/>
              </w:rPr>
              <w:t>coalition) —</w:t>
            </w:r>
            <w:proofErr w:type="gramEnd"/>
            <w:r>
              <w:rPr>
                <w:sz w:val="18"/>
                <w:szCs w:val="18"/>
              </w:rPr>
              <w:t xml:space="preserve"> leads state budget advocacy</w:t>
            </w:r>
          </w:p>
        </w:tc>
      </w:tr>
      <w:tr w:rsidR="00C65EA5" w14:paraId="2BFB1431" w14:textId="77777777">
        <w:tblPrEx>
          <w:tblCellMar>
            <w:top w:w="0" w:type="dxa"/>
            <w:bottom w:w="0" w:type="dxa"/>
          </w:tblCellMar>
        </w:tblPrEx>
        <w:tc>
          <w:tcPr>
            <w:tcW w:w="14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6194F5D3" w14:textId="77777777" w:rsidR="00C65EA5" w:rsidRDefault="00000000">
            <w:r>
              <w:rPr>
                <w:sz w:val="18"/>
                <w:szCs w:val="18"/>
              </w:rPr>
              <w:t>California</w:t>
            </w:r>
          </w:p>
        </w:tc>
        <w:tc>
          <w:tcPr>
            <w:tcW w:w="36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2AA78E8C" w14:textId="77777777" w:rsidR="00C65EA5" w:rsidRDefault="00000000">
            <w:r>
              <w:rPr>
                <w:sz w:val="18"/>
                <w:szCs w:val="18"/>
              </w:rPr>
              <w:t>Domestic Violence Programs</w:t>
            </w:r>
          </w:p>
        </w:tc>
        <w:tc>
          <w:tcPr>
            <w:tcW w:w="260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7914641A" w14:textId="77777777" w:rsidR="00C65EA5" w:rsidRDefault="00000000">
            <w:r>
              <w:rPr>
                <w:sz w:val="18"/>
                <w:szCs w:val="18"/>
              </w:rPr>
              <w:t>Governor's Office of Emergency Services (Cal OES)</w:t>
            </w:r>
          </w:p>
        </w:tc>
        <w:tc>
          <w:tcPr>
            <w:tcW w:w="2480" w:type="dxa"/>
            <w:tcBorders>
              <w:top w:val="single" w:sz="2" w:space="0" w:color="C9D6E2"/>
              <w:left w:val="single" w:sz="2" w:space="0" w:color="C9D6E2"/>
              <w:bottom w:val="single" w:sz="2" w:space="0" w:color="C9D6E2"/>
              <w:right w:val="single" w:sz="2" w:space="0" w:color="C9D6E2"/>
            </w:tcBorders>
            <w:shd w:val="clear" w:color="auto" w:fill="F2F5F8"/>
            <w:tcMar>
              <w:top w:w="90" w:type="dxa"/>
              <w:left w:w="120" w:type="dxa"/>
              <w:bottom w:w="90" w:type="dxa"/>
              <w:right w:w="120" w:type="dxa"/>
            </w:tcMar>
            <w:vAlign w:val="center"/>
          </w:tcPr>
          <w:p w14:paraId="1E513215" w14:textId="77777777" w:rsidR="00C65EA5" w:rsidRDefault="00000000">
            <w:r>
              <w:rPr>
                <w:sz w:val="18"/>
                <w:szCs w:val="18"/>
              </w:rPr>
              <w:t>Cal OES program staff</w:t>
            </w:r>
          </w:p>
        </w:tc>
      </w:tr>
      <w:tr w:rsidR="00C65EA5" w14:paraId="5D733FAB" w14:textId="77777777">
        <w:tblPrEx>
          <w:tblCellMar>
            <w:top w:w="0" w:type="dxa"/>
            <w:bottom w:w="0" w:type="dxa"/>
          </w:tblCellMar>
        </w:tblPrEx>
        <w:tc>
          <w:tcPr>
            <w:tcW w:w="14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5A4256FE" w14:textId="77777777" w:rsidR="00C65EA5" w:rsidRDefault="00000000">
            <w:r>
              <w:rPr>
                <w:sz w:val="18"/>
                <w:szCs w:val="18"/>
              </w:rPr>
              <w:t>Kentucky</w:t>
            </w:r>
          </w:p>
        </w:tc>
        <w:tc>
          <w:tcPr>
            <w:tcW w:w="3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3E103B25" w14:textId="77777777" w:rsidR="00C65EA5" w:rsidRDefault="00000000">
            <w:r>
              <w:rPr>
                <w:sz w:val="18"/>
                <w:szCs w:val="18"/>
              </w:rPr>
              <w:t>DV programming under HBOT4KYVETS partnership (existing)</w:t>
            </w:r>
          </w:p>
        </w:tc>
        <w:tc>
          <w:tcPr>
            <w:tcW w:w="260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0FB9D15D" w14:textId="77777777" w:rsidR="00C65EA5" w:rsidRDefault="00000000">
            <w:r>
              <w:rPr>
                <w:sz w:val="18"/>
                <w:szCs w:val="18"/>
              </w:rPr>
              <w:t>Cabinet for Health and Family Services</w:t>
            </w:r>
          </w:p>
        </w:tc>
        <w:tc>
          <w:tcPr>
            <w:tcW w:w="2480" w:type="dxa"/>
            <w:tcBorders>
              <w:top w:val="single" w:sz="2" w:space="0" w:color="C9D6E2"/>
              <w:left w:val="single" w:sz="2" w:space="0" w:color="C9D6E2"/>
              <w:bottom w:val="single" w:sz="2" w:space="0" w:color="C9D6E2"/>
              <w:right w:val="single" w:sz="2" w:space="0" w:color="C9D6E2"/>
            </w:tcBorders>
            <w:shd w:val="clear" w:color="auto" w:fill="FFFFFF"/>
            <w:tcMar>
              <w:top w:w="90" w:type="dxa"/>
              <w:left w:w="120" w:type="dxa"/>
              <w:bottom w:w="90" w:type="dxa"/>
              <w:right w:w="120" w:type="dxa"/>
            </w:tcMar>
            <w:vAlign w:val="center"/>
          </w:tcPr>
          <w:p w14:paraId="66A184DF" w14:textId="77777777" w:rsidR="00C65EA5" w:rsidRDefault="00000000">
            <w:r>
              <w:rPr>
                <w:sz w:val="18"/>
                <w:szCs w:val="18"/>
              </w:rPr>
              <w:t>Existing TreatNOW relationship — active model</w:t>
            </w:r>
          </w:p>
        </w:tc>
      </w:tr>
    </w:tbl>
    <w:p w14:paraId="295E691A" w14:textId="77777777" w:rsidR="00C65EA5" w:rsidRDefault="00000000">
      <w:pPr>
        <w:spacing w:before="60" w:after="200"/>
      </w:pPr>
      <w:r>
        <w:rPr>
          <w:i/>
          <w:iCs/>
          <w:color w:val="8C8C8C"/>
          <w:sz w:val="15"/>
          <w:szCs w:val="15"/>
        </w:rPr>
        <w:t>Source: State agency websites (OPDV, ICDV, Florida DCF, NJ DCF, Mass.gov, IDHS/ICJIA, PA DHS, Cal OES, KY CHFS); PCADV budget advocacy announcements; NNEDV state coalition directory.</w:t>
      </w:r>
    </w:p>
    <w:p w14:paraId="25F2C617" w14:textId="77777777" w:rsidR="00C65EA5" w:rsidRDefault="00000000">
      <w:pPr>
        <w:pStyle w:val="Heading2"/>
        <w:keepNext/>
      </w:pPr>
      <w:bookmarkStart w:id="22" w:name="_Toc233126281"/>
      <w:r>
        <w:t>Reading the Landscape</w:t>
      </w:r>
      <w:bookmarkEnd w:id="22"/>
    </w:p>
    <w:p w14:paraId="6DA62A4F" w14:textId="77777777" w:rsidR="00C65EA5" w:rsidRDefault="00000000">
      <w:pPr>
        <w:spacing w:after="160" w:line="276" w:lineRule="auto"/>
      </w:pPr>
      <w:r>
        <w:t>Massachusetts and Illinois stand out as the most promising near-term targets after Kentucky and New York. Both pair a funding bureaucracy with a separate, policy-oriented body — the Governor's Council in Massachusetts and ICJIA's statewide violence prevention planning process in Illinois — that exists specifically to generate recommendations, not just disburse grants. Illinois has also just tripled its domestic violence funding and is actively drafting a five-year plan, which means new initiatives are easier to fold in while a planning cycle is already open.</w:t>
      </w:r>
    </w:p>
    <w:p w14:paraId="1AB1FD41" w14:textId="77777777" w:rsidR="00C65EA5" w:rsidRDefault="00000000">
      <w:pPr>
        <w:spacing w:after="160" w:line="276" w:lineRule="auto"/>
      </w:pPr>
      <w:r>
        <w:t>New Jersey is also worth early attention: its Division on Women already convenes a Governor-appointed Domestic Violence Fatality Review Board, a body whose explicit purpose is generating policy recommendations from the worst-case outcomes of unaddressed domestic violence — a natural audience for an argument about an undiagnosed, treatable brain injury sitting upstream of those outcomes.</w:t>
      </w:r>
    </w:p>
    <w:p w14:paraId="394D7776" w14:textId="77777777" w:rsidR="00C65EA5" w:rsidRDefault="00000000">
      <w:pPr>
        <w:spacing w:after="200" w:line="276" w:lineRule="auto"/>
      </w:pPr>
      <w:r>
        <w:t>Idaho and Florida have the cleanest structural parallel to New York — a single, named office with a director and dedicated budget — which makes the OPDV partnership pitch easiest to translate directly, even though neither has New York's scale of DV-TBI-specific activity yet. Pennsylvania and California are largely grant-administering structures without an obvious internal policy shop; in both states, the state coalition (PCADV in Pennsylvania; the California Partnership to End Domestic Violence) is the better first call, since coalitions hold the legislative relationships that the grant office typically does not.</w:t>
      </w:r>
    </w:p>
    <w:tbl>
      <w:tblPr>
        <w:tblW w:w="10080" w:type="dxa"/>
        <w:tblBorders>
          <w:top w:val="single" w:sz="1" w:space="0" w:color="F2F5F8"/>
          <w:left w:val="single" w:sz="24" w:space="0" w:color="1B3A5C"/>
          <w:bottom w:val="single" w:sz="1" w:space="0" w:color="F2F5F8"/>
          <w:right w:val="single" w:sz="1" w:space="0" w:color="F2F5F8"/>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65EA5" w14:paraId="44E1C59C" w14:textId="77777777">
        <w:tblPrEx>
          <w:tblCellMar>
            <w:top w:w="0" w:type="dxa"/>
            <w:bottom w:w="0" w:type="dxa"/>
          </w:tblCellMar>
        </w:tblPrEx>
        <w:tc>
          <w:tcPr>
            <w:tcW w:w="10080" w:type="dxa"/>
            <w:shd w:val="clear" w:color="auto" w:fill="F2F5F8"/>
            <w:tcMar>
              <w:top w:w="160" w:type="dxa"/>
              <w:left w:w="220" w:type="dxa"/>
              <w:bottom w:w="160" w:type="dxa"/>
              <w:right w:w="220" w:type="dxa"/>
            </w:tcMar>
          </w:tcPr>
          <w:p w14:paraId="6BECC354" w14:textId="77777777" w:rsidR="00C65EA5" w:rsidRDefault="00000000">
            <w:pPr>
              <w:spacing w:after="80"/>
            </w:pPr>
            <w:r>
              <w:rPr>
                <w:b/>
                <w:bCs/>
                <w:color w:val="1B3A5C"/>
              </w:rPr>
              <w:t>A Note on State Coalitions</w:t>
            </w:r>
          </w:p>
          <w:p w14:paraId="750E6912" w14:textId="77777777" w:rsidR="00C65EA5" w:rsidRDefault="00000000">
            <w:pPr>
              <w:spacing w:line="270" w:lineRule="auto"/>
            </w:pPr>
            <w:r>
              <w:rPr>
                <w:sz w:val="20"/>
                <w:szCs w:val="20"/>
              </w:rPr>
              <w:t xml:space="preserve">Separate from </w:t>
            </w:r>
            <w:proofErr w:type="gramStart"/>
            <w:r>
              <w:rPr>
                <w:sz w:val="20"/>
                <w:szCs w:val="20"/>
              </w:rPr>
              <w:t>all of</w:t>
            </w:r>
            <w:proofErr w:type="gramEnd"/>
            <w:r>
              <w:rPr>
                <w:sz w:val="20"/>
                <w:szCs w:val="20"/>
              </w:rPr>
              <w:t xml:space="preserve"> the government structures above, every state and territory has a domestic violence coalition — a membership nonprofit (not a government office) that the National Network to End Domestic Violence (NNEDV) represents nationally. Coalitions don't control state budgets, but they frequently have closer legislative relationships than the government offices that fund them, and most have already done the work of organizing local shelters and justice centers that any HBOT pilot would eventually need to reach. A </w:t>
            </w:r>
            <w:r>
              <w:rPr>
                <w:sz w:val="20"/>
                <w:szCs w:val="20"/>
              </w:rPr>
              <w:lastRenderedPageBreak/>
              <w:t>parallel outreach track to the relevant state coalition, alongside the government office, is worth building into any state-by-state TreatNOW strategy.</w:t>
            </w:r>
          </w:p>
        </w:tc>
      </w:tr>
    </w:tbl>
    <w:p w14:paraId="2466C512" w14:textId="77777777" w:rsidR="00C65EA5" w:rsidRDefault="00000000">
      <w:pPr>
        <w:pStyle w:val="Heading1"/>
        <w:keepNext/>
        <w:pBdr>
          <w:bottom w:val="single" w:sz="8" w:space="4" w:color="1B3A5C"/>
        </w:pBdr>
      </w:pPr>
      <w:bookmarkStart w:id="23" w:name="_Toc233126282"/>
      <w:r>
        <w:lastRenderedPageBreak/>
        <w:t>Selected Sources</w:t>
      </w:r>
      <w:bookmarkEnd w:id="23"/>
    </w:p>
    <w:p w14:paraId="15A2FD63" w14:textId="77777777" w:rsidR="00C65EA5" w:rsidRDefault="00000000">
      <w:pPr>
        <w:spacing w:after="160" w:line="276" w:lineRule="auto"/>
      </w:pPr>
      <w:r>
        <w:t>This paper draws on federal public health survey data, peer-reviewed research literature, state government data dashboards, and published service-provider research. Key sources include:</w:t>
      </w:r>
    </w:p>
    <w:p w14:paraId="28DF7B22" w14:textId="77777777" w:rsidR="00C65EA5" w:rsidRDefault="00000000">
      <w:pPr>
        <w:pStyle w:val="ListParagraph"/>
        <w:numPr>
          <w:ilvl w:val="0"/>
          <w:numId w:val="2"/>
        </w:numPr>
        <w:spacing w:after="100" w:line="270" w:lineRule="auto"/>
      </w:pPr>
      <w:r>
        <w:t>Centers for Disease Control and Prevention, National Intimate Partner and Sexual Violence Survey (NISVS), 2023/2024 Intimate Partner Violence Data Brief and 2023/2024 Sexual Violence Data Brief.</w:t>
      </w:r>
    </w:p>
    <w:p w14:paraId="20839BB9" w14:textId="77777777" w:rsidR="00C65EA5" w:rsidRDefault="00000000">
      <w:pPr>
        <w:pStyle w:val="ListParagraph"/>
        <w:numPr>
          <w:ilvl w:val="0"/>
          <w:numId w:val="2"/>
        </w:numPr>
        <w:spacing w:after="100" w:line="270" w:lineRule="auto"/>
      </w:pPr>
      <w:r>
        <w:t>Valera, E.M. et al., research on traumatic brain injury prevalence among women survivors of intimate partner violence, Journal of Head Trauma Rehabilitation and related publications, Harvard Medical School / Massachusetts General Hospital.</w:t>
      </w:r>
    </w:p>
    <w:p w14:paraId="73F9CFE9" w14:textId="77777777" w:rsidR="00C65EA5" w:rsidRDefault="00000000">
      <w:pPr>
        <w:pStyle w:val="ListParagraph"/>
        <w:numPr>
          <w:ilvl w:val="0"/>
          <w:numId w:val="2"/>
        </w:numPr>
        <w:spacing w:after="100" w:line="270" w:lineRule="auto"/>
      </w:pPr>
      <w:r>
        <w:t>“Battered and Brain Injured: Traumatic Brain Injury Among Women Survivors of Intimate Partner Violence — A Scoping Review,” peer-reviewed scoping review of 42 published studies.</w:t>
      </w:r>
    </w:p>
    <w:p w14:paraId="51AA1754" w14:textId="77777777" w:rsidR="00C65EA5" w:rsidRDefault="00000000">
      <w:pPr>
        <w:pStyle w:val="ListParagraph"/>
        <w:numPr>
          <w:ilvl w:val="0"/>
          <w:numId w:val="2"/>
        </w:numPr>
        <w:spacing w:after="100" w:line="270" w:lineRule="auto"/>
      </w:pPr>
      <w:r>
        <w:t>Nemeth, J.M. et al., “Partner-Inflicted Brain Injury: Intentional, Concurrent, and Repeated Traumatic and Hypoxic Neurologic Insults,” Brain Sciences, 2025.</w:t>
      </w:r>
    </w:p>
    <w:p w14:paraId="054DCAC2" w14:textId="77777777" w:rsidR="00C65EA5" w:rsidRDefault="00000000">
      <w:pPr>
        <w:pStyle w:val="ListParagraph"/>
        <w:numPr>
          <w:ilvl w:val="0"/>
          <w:numId w:val="2"/>
        </w:numPr>
        <w:spacing w:after="100" w:line="270" w:lineRule="auto"/>
      </w:pPr>
      <w:r>
        <w:t>Prevalence and Risk Factors for Intimate Partner Physical Violence-Related Acquired Brain Injury Among Visitors to a Justice Center in New York, peer-reviewed clinical study.</w:t>
      </w:r>
    </w:p>
    <w:p w14:paraId="146834C5" w14:textId="77777777" w:rsidR="00C65EA5" w:rsidRDefault="00000000">
      <w:pPr>
        <w:pStyle w:val="ListParagraph"/>
        <w:numPr>
          <w:ilvl w:val="0"/>
          <w:numId w:val="2"/>
        </w:numPr>
        <w:spacing w:after="100" w:line="270" w:lineRule="auto"/>
      </w:pPr>
      <w:r>
        <w:t>NYS Office for the Prevention of Domestic Violence (OPDV), 2024 Gender-Based Violence Dashboard; NYC Mayor's Office to End Domestic and Gender-Based Violence (ENDGBV), 2024 Fact Sheet.</w:t>
      </w:r>
    </w:p>
    <w:p w14:paraId="7CBD1732" w14:textId="77777777" w:rsidR="00C65EA5" w:rsidRDefault="00000000">
      <w:pPr>
        <w:pStyle w:val="ListParagraph"/>
        <w:numPr>
          <w:ilvl w:val="0"/>
          <w:numId w:val="2"/>
        </w:numPr>
        <w:spacing w:after="100" w:line="270" w:lineRule="auto"/>
      </w:pPr>
      <w:r>
        <w:t>Volunteers of America — Greater New York (VOA-GNY), published findings from its domestic violence shelter TBI screening pilot program.</w:t>
      </w:r>
    </w:p>
    <w:p w14:paraId="7D2FCAC0" w14:textId="77777777" w:rsidR="00C65EA5" w:rsidRDefault="00000000">
      <w:pPr>
        <w:pStyle w:val="ListParagraph"/>
        <w:numPr>
          <w:ilvl w:val="0"/>
          <w:numId w:val="2"/>
        </w:numPr>
        <w:spacing w:after="100" w:line="270" w:lineRule="auto"/>
      </w:pPr>
      <w:r>
        <w:t>Sanctuary for Families, “Domestic Violence Often Causes Traumatic Brain Injury — Why Is No One Talking About It?”</w:t>
      </w:r>
    </w:p>
    <w:p w14:paraId="2D82360A" w14:textId="77777777" w:rsidR="00C65EA5" w:rsidRDefault="00000000">
      <w:pPr>
        <w:pStyle w:val="ListParagraph"/>
        <w:numPr>
          <w:ilvl w:val="0"/>
          <w:numId w:val="2"/>
        </w:numPr>
        <w:spacing w:after="100" w:line="270" w:lineRule="auto"/>
      </w:pPr>
      <w:r>
        <w:t>American Brain Foundation, published research summaries on domestic violence and traumatic brain injury.</w:t>
      </w:r>
    </w:p>
    <w:p w14:paraId="775FF512" w14:textId="77777777" w:rsidR="00C65EA5" w:rsidRDefault="00000000">
      <w:pPr>
        <w:pStyle w:val="ListParagraph"/>
        <w:numPr>
          <w:ilvl w:val="0"/>
          <w:numId w:val="2"/>
        </w:numPr>
        <w:spacing w:after="100" w:line="270" w:lineRule="auto"/>
      </w:pPr>
      <w:r>
        <w:t>Ohio Domestic Violence Network, member-program screening data on head injury and strangulation prevalence.</w:t>
      </w:r>
    </w:p>
    <w:p w14:paraId="3749B2C5" w14:textId="77777777" w:rsidR="00C65EA5" w:rsidRDefault="00000000">
      <w:pPr>
        <w:pStyle w:val="ListParagraph"/>
        <w:numPr>
          <w:ilvl w:val="0"/>
          <w:numId w:val="2"/>
        </w:numPr>
        <w:spacing w:after="100" w:line="270" w:lineRule="auto"/>
      </w:pPr>
      <w:r>
        <w:t>TreatNOW Coalition, compilation of 29 peer-reviewed studies on hyperbaric oxygen therapy for traumatic brain injury and post-traumatic stress, arrayed by NHMRC evidence hierarchy.</w:t>
      </w:r>
    </w:p>
    <w:p w14:paraId="215BF387" w14:textId="77777777" w:rsidR="00C65EA5" w:rsidRDefault="00000000">
      <w:pPr>
        <w:pStyle w:val="ListParagraph"/>
        <w:numPr>
          <w:ilvl w:val="0"/>
          <w:numId w:val="2"/>
        </w:numPr>
        <w:spacing w:after="100" w:line="270" w:lineRule="auto"/>
      </w:pPr>
      <w:r>
        <w:t>National Network to End Domestic Violence (NNEDV), State and U.S. Territorial Coalitions directory.</w:t>
      </w:r>
    </w:p>
    <w:p w14:paraId="5F9A5237" w14:textId="77777777" w:rsidR="00C65EA5" w:rsidRDefault="00000000">
      <w:pPr>
        <w:pStyle w:val="ListParagraph"/>
        <w:numPr>
          <w:ilvl w:val="0"/>
          <w:numId w:val="2"/>
        </w:numPr>
        <w:spacing w:after="100" w:line="270" w:lineRule="auto"/>
      </w:pPr>
      <w:r>
        <w:t>State agency sources: Idaho Council on Domestic Violence and Victim Assistance; Florida Dept. of Children and Families, Office of Domestic Violence; New Jersey Dept. of Children and Families, Division on Women; Massachusetts Executive Office, Governor's Council to Address Sexual Assault, Domestic Violence, and Human Trafficking; Illinois Dept. of Human Services and Illinois Criminal Justice Information Authority; Pennsylvania Coalition Against Domestic Violence budget advocacy releases; California Governor's Office of Emergency Services; Kentucky Cabinet for Health and Family Services.</w:t>
      </w:r>
    </w:p>
    <w:p w14:paraId="3E50EF75" w14:textId="77777777" w:rsidR="00C65EA5" w:rsidRDefault="00C65EA5">
      <w:pPr>
        <w:spacing w:after="300"/>
      </w:pPr>
    </w:p>
    <w:p w14:paraId="41FF2F6C" w14:textId="77777777" w:rsidR="00C65EA5" w:rsidRDefault="00000000">
      <w:pPr>
        <w:pBdr>
          <w:top w:val="single" w:sz="6" w:space="8" w:color="C9D6E2"/>
        </w:pBdr>
      </w:pPr>
      <w:r>
        <w:rPr>
          <w:i/>
          <w:iCs/>
          <w:color w:val="8C8C8C"/>
          <w:sz w:val="15"/>
          <w:szCs w:val="15"/>
        </w:rPr>
        <w:t>Prepared by the TreatNOW Coalition in partnership with the BART Foundation. This paper is intended as an advocacy and policy resource and does not constitute medical advice. Survivors and clinicians should consult qualified medical professionals regarding individual diagnosis and treatment.</w:t>
      </w:r>
    </w:p>
    <w:sectPr w:rsidR="00C65EA5">
      <w:headerReference w:type="default" r:id="rId7"/>
      <w:footerReference w:type="default" r:id="rId8"/>
      <w:headerReference w:type="first" r:id="rId9"/>
      <w:footerReference w:type="first" r:id="rId10"/>
      <w:pgSz w:w="12240" w:h="15840"/>
      <w:pgMar w:top="1080" w:right="1080" w:bottom="108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7796" w14:textId="77777777" w:rsidR="00A86250" w:rsidRDefault="00A86250">
      <w:r>
        <w:separator/>
      </w:r>
    </w:p>
  </w:endnote>
  <w:endnote w:type="continuationSeparator" w:id="0">
    <w:p w14:paraId="0F7FBCD3" w14:textId="77777777" w:rsidR="00A86250" w:rsidRDefault="00A8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9292" w14:textId="77777777" w:rsidR="00C65EA5" w:rsidRDefault="00000000">
    <w:pPr>
      <w:pBdr>
        <w:top w:val="single" w:sz="4" w:space="4" w:color="C9D6E2"/>
      </w:pBdr>
      <w:tabs>
        <w:tab w:val="right" w:pos="9026"/>
      </w:tabs>
    </w:pPr>
    <w:r>
      <w:rPr>
        <w:color w:val="8C8C8C"/>
        <w:sz w:val="15"/>
        <w:szCs w:val="15"/>
      </w:rPr>
      <w:t xml:space="preserve">TreatNOW </w:t>
    </w:r>
    <w:proofErr w:type="gramStart"/>
    <w:r>
      <w:rPr>
        <w:color w:val="8C8C8C"/>
        <w:sz w:val="15"/>
        <w:szCs w:val="15"/>
      </w:rPr>
      <w:t>Coalition  |</w:t>
    </w:r>
    <w:proofErr w:type="gramEnd"/>
    <w:r>
      <w:rPr>
        <w:color w:val="8C8C8C"/>
        <w:sz w:val="15"/>
        <w:szCs w:val="15"/>
      </w:rPr>
      <w:t xml:space="preserve">  BART Foundation</w:t>
    </w:r>
    <w:r>
      <w:rPr>
        <w:color w:val="8C8C8C"/>
        <w:sz w:val="15"/>
        <w:szCs w:val="15"/>
      </w:rPr>
      <w:tab/>
      <w:t xml:space="preserve">Page </w:t>
    </w:r>
    <w:r>
      <w:rPr>
        <w:color w:val="8C8C8C"/>
        <w:sz w:val="15"/>
        <w:szCs w:val="15"/>
      </w:rPr>
      <w:fldChar w:fldCharType="begin"/>
    </w:r>
    <w:r>
      <w:rPr>
        <w:color w:val="8C8C8C"/>
        <w:sz w:val="15"/>
        <w:szCs w:val="15"/>
      </w:rPr>
      <w:instrText>PAGE</w:instrText>
    </w:r>
    <w:r>
      <w:rPr>
        <w:color w:val="8C8C8C"/>
        <w:sz w:val="15"/>
        <w:szCs w:val="15"/>
      </w:rPr>
      <w:fldChar w:fldCharType="separate"/>
    </w:r>
    <w:r w:rsidR="00166F94">
      <w:rPr>
        <w:noProof/>
        <w:color w:val="8C8C8C"/>
        <w:sz w:val="15"/>
        <w:szCs w:val="15"/>
      </w:rPr>
      <w:t>19</w:t>
    </w:r>
    <w:r>
      <w:rPr>
        <w:color w:val="8C8C8C"/>
        <w:sz w:val="15"/>
        <w:szCs w:val="15"/>
      </w:rPr>
      <w:fldChar w:fldCharType="end"/>
    </w:r>
    <w:r>
      <w:rPr>
        <w:color w:val="8C8C8C"/>
        <w:sz w:val="15"/>
        <w:szCs w:val="15"/>
      </w:rPr>
      <w:t xml:space="preserve"> of </w:t>
    </w:r>
    <w:r>
      <w:rPr>
        <w:color w:val="8C8C8C"/>
        <w:sz w:val="15"/>
        <w:szCs w:val="15"/>
      </w:rPr>
      <w:fldChar w:fldCharType="begin"/>
    </w:r>
    <w:r>
      <w:rPr>
        <w:color w:val="8C8C8C"/>
        <w:sz w:val="15"/>
        <w:szCs w:val="15"/>
      </w:rPr>
      <w:instrText>NUMPAGES</w:instrText>
    </w:r>
    <w:r>
      <w:rPr>
        <w:color w:val="8C8C8C"/>
        <w:sz w:val="15"/>
        <w:szCs w:val="15"/>
      </w:rPr>
      <w:fldChar w:fldCharType="separate"/>
    </w:r>
    <w:r w:rsidR="00166F94">
      <w:rPr>
        <w:noProof/>
        <w:color w:val="8C8C8C"/>
        <w:sz w:val="15"/>
        <w:szCs w:val="15"/>
      </w:rPr>
      <w:t>1</w:t>
    </w:r>
    <w:r>
      <w:rPr>
        <w:color w:val="8C8C8C"/>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CDF5" w14:textId="77777777" w:rsidR="00C65EA5" w:rsidRDefault="00C65E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7EEA" w14:textId="77777777" w:rsidR="00A86250" w:rsidRDefault="00A86250">
      <w:r>
        <w:separator/>
      </w:r>
    </w:p>
  </w:footnote>
  <w:footnote w:type="continuationSeparator" w:id="0">
    <w:p w14:paraId="78CA4080" w14:textId="77777777" w:rsidR="00A86250" w:rsidRDefault="00A86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DF91" w14:textId="77777777" w:rsidR="00C65EA5" w:rsidRDefault="00000000">
    <w:pPr>
      <w:pBdr>
        <w:bottom w:val="single" w:sz="4" w:space="4" w:color="C9D6E2"/>
      </w:pBdr>
      <w:tabs>
        <w:tab w:val="right" w:pos="9026"/>
      </w:tabs>
    </w:pPr>
    <w:r>
      <w:rPr>
        <w:color w:val="8C8C8C"/>
        <w:sz w:val="15"/>
        <w:szCs w:val="15"/>
      </w:rPr>
      <w:t>The Hidden Wound: DV, TBI, and HBOT</w:t>
    </w:r>
    <w:r>
      <w:rPr>
        <w:color w:val="8C8C8C"/>
        <w:sz w:val="15"/>
        <w:szCs w:val="15"/>
      </w:rPr>
      <w:tab/>
      <w:t>TreatNOW Coalition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4033" w14:textId="77777777" w:rsidR="00C65EA5" w:rsidRDefault="00C65E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92A4C"/>
    <w:multiLevelType w:val="hybridMultilevel"/>
    <w:tmpl w:val="CD42123C"/>
    <w:lvl w:ilvl="0" w:tplc="CD76BB04">
      <w:start w:val="1"/>
      <w:numFmt w:val="bullet"/>
      <w:lvlText w:val="●"/>
      <w:lvlJc w:val="left"/>
      <w:pPr>
        <w:ind w:left="720" w:hanging="360"/>
      </w:pPr>
    </w:lvl>
    <w:lvl w:ilvl="1" w:tplc="1B88ACDA">
      <w:start w:val="1"/>
      <w:numFmt w:val="bullet"/>
      <w:lvlText w:val="○"/>
      <w:lvlJc w:val="left"/>
      <w:pPr>
        <w:ind w:left="1440" w:hanging="360"/>
      </w:pPr>
    </w:lvl>
    <w:lvl w:ilvl="2" w:tplc="D6E4A660">
      <w:start w:val="1"/>
      <w:numFmt w:val="bullet"/>
      <w:lvlText w:val="■"/>
      <w:lvlJc w:val="left"/>
      <w:pPr>
        <w:ind w:left="2160" w:hanging="360"/>
      </w:pPr>
    </w:lvl>
    <w:lvl w:ilvl="3" w:tplc="5DDE858E">
      <w:start w:val="1"/>
      <w:numFmt w:val="bullet"/>
      <w:lvlText w:val="●"/>
      <w:lvlJc w:val="left"/>
      <w:pPr>
        <w:ind w:left="2880" w:hanging="360"/>
      </w:pPr>
    </w:lvl>
    <w:lvl w:ilvl="4" w:tplc="167AA7B6">
      <w:start w:val="1"/>
      <w:numFmt w:val="bullet"/>
      <w:lvlText w:val="○"/>
      <w:lvlJc w:val="left"/>
      <w:pPr>
        <w:ind w:left="3600" w:hanging="360"/>
      </w:pPr>
    </w:lvl>
    <w:lvl w:ilvl="5" w:tplc="84A8AF08">
      <w:start w:val="1"/>
      <w:numFmt w:val="bullet"/>
      <w:lvlText w:val="■"/>
      <w:lvlJc w:val="left"/>
      <w:pPr>
        <w:ind w:left="4320" w:hanging="360"/>
      </w:pPr>
    </w:lvl>
    <w:lvl w:ilvl="6" w:tplc="5A7C9ED8">
      <w:start w:val="1"/>
      <w:numFmt w:val="bullet"/>
      <w:lvlText w:val="●"/>
      <w:lvlJc w:val="left"/>
      <w:pPr>
        <w:ind w:left="5040" w:hanging="360"/>
      </w:pPr>
    </w:lvl>
    <w:lvl w:ilvl="7" w:tplc="2BEED884">
      <w:start w:val="1"/>
      <w:numFmt w:val="bullet"/>
      <w:lvlText w:val="●"/>
      <w:lvlJc w:val="left"/>
      <w:pPr>
        <w:ind w:left="5760" w:hanging="360"/>
      </w:pPr>
    </w:lvl>
    <w:lvl w:ilvl="8" w:tplc="FE186124">
      <w:start w:val="1"/>
      <w:numFmt w:val="bullet"/>
      <w:lvlText w:val="●"/>
      <w:lvlJc w:val="left"/>
      <w:pPr>
        <w:ind w:left="6480" w:hanging="360"/>
      </w:pPr>
    </w:lvl>
  </w:abstractNum>
  <w:abstractNum w:abstractNumId="1" w15:restartNumberingAfterBreak="0">
    <w:nsid w:val="458840BC"/>
    <w:multiLevelType w:val="hybridMultilevel"/>
    <w:tmpl w:val="7DEA0424"/>
    <w:lvl w:ilvl="0" w:tplc="452036AE">
      <w:start w:val="1"/>
      <w:numFmt w:val="bullet"/>
      <w:lvlText w:val="•"/>
      <w:lvlJc w:val="left"/>
      <w:pPr>
        <w:ind w:left="540" w:hanging="270"/>
      </w:pPr>
    </w:lvl>
    <w:lvl w:ilvl="1" w:tplc="252C8490">
      <w:numFmt w:val="decimal"/>
      <w:lvlText w:val=""/>
      <w:lvlJc w:val="left"/>
    </w:lvl>
    <w:lvl w:ilvl="2" w:tplc="0AACA7DE">
      <w:numFmt w:val="decimal"/>
      <w:lvlText w:val=""/>
      <w:lvlJc w:val="left"/>
    </w:lvl>
    <w:lvl w:ilvl="3" w:tplc="7946CF00">
      <w:numFmt w:val="decimal"/>
      <w:lvlText w:val=""/>
      <w:lvlJc w:val="left"/>
    </w:lvl>
    <w:lvl w:ilvl="4" w:tplc="B650A3A0">
      <w:numFmt w:val="decimal"/>
      <w:lvlText w:val=""/>
      <w:lvlJc w:val="left"/>
    </w:lvl>
    <w:lvl w:ilvl="5" w:tplc="D068B182">
      <w:numFmt w:val="decimal"/>
      <w:lvlText w:val=""/>
      <w:lvlJc w:val="left"/>
    </w:lvl>
    <w:lvl w:ilvl="6" w:tplc="4A0624BE">
      <w:numFmt w:val="decimal"/>
      <w:lvlText w:val=""/>
      <w:lvlJc w:val="left"/>
    </w:lvl>
    <w:lvl w:ilvl="7" w:tplc="F920EF66">
      <w:numFmt w:val="decimal"/>
      <w:lvlText w:val=""/>
      <w:lvlJc w:val="left"/>
    </w:lvl>
    <w:lvl w:ilvl="8" w:tplc="D4148388">
      <w:numFmt w:val="decimal"/>
      <w:lvlText w:val=""/>
      <w:lvlJc w:val="left"/>
    </w:lvl>
  </w:abstractNum>
  <w:num w:numId="1" w16cid:durableId="1684160200">
    <w:abstractNumId w:val="0"/>
    <w:lvlOverride w:ilvl="0">
      <w:startOverride w:val="1"/>
    </w:lvlOverride>
  </w:num>
  <w:num w:numId="2" w16cid:durableId="11933023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A5"/>
    <w:rsid w:val="00166F94"/>
    <w:rsid w:val="002D406E"/>
    <w:rsid w:val="00A86250"/>
    <w:rsid w:val="00C6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4774"/>
  <w15:docId w15:val="{87CA9C88-D697-4C4F-B1FD-6557B50B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B3A5C"/>
      <w:sz w:val="30"/>
      <w:szCs w:val="30"/>
    </w:rPr>
  </w:style>
  <w:style w:type="paragraph" w:styleId="Heading2">
    <w:name w:val="heading 2"/>
    <w:uiPriority w:val="9"/>
    <w:unhideWhenUsed/>
    <w:qFormat/>
    <w:pPr>
      <w:spacing w:before="260" w:after="120"/>
      <w:outlineLvl w:val="1"/>
    </w:pPr>
    <w:rPr>
      <w:b/>
      <w:bCs/>
      <w:color w:val="1B3A5C"/>
      <w:sz w:val="24"/>
      <w:szCs w:val="24"/>
    </w:rPr>
  </w:style>
  <w:style w:type="paragraph" w:styleId="Heading3">
    <w:name w:val="heading 3"/>
    <w:uiPriority w:val="9"/>
    <w:unhideWhenUsed/>
    <w:qFormat/>
    <w:pPr>
      <w:spacing w:before="180" w:after="100"/>
      <w:outlineLvl w:val="2"/>
    </w:pPr>
    <w:rPr>
      <w:b/>
      <w:bCs/>
      <w:i/>
      <w:iCs/>
      <w:color w:val="595959"/>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166F94"/>
    <w:pPr>
      <w:spacing w:after="100"/>
    </w:pPr>
  </w:style>
  <w:style w:type="paragraph" w:styleId="TOC2">
    <w:name w:val="toc 2"/>
    <w:basedOn w:val="Normal"/>
    <w:next w:val="Normal"/>
    <w:autoRedefine/>
    <w:uiPriority w:val="39"/>
    <w:unhideWhenUsed/>
    <w:rsid w:val="00166F94"/>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5531</Words>
  <Characters>31529</Characters>
  <Application>Microsoft Office Word</Application>
  <DocSecurity>0</DocSecurity>
  <Lines>262</Lines>
  <Paragraphs>73</Paragraphs>
  <ScaleCrop>false</ScaleCrop>
  <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Beckman</cp:lastModifiedBy>
  <cp:revision>2</cp:revision>
  <dcterms:created xsi:type="dcterms:W3CDTF">2026-06-23T21:02:00Z</dcterms:created>
  <dcterms:modified xsi:type="dcterms:W3CDTF">2026-06-23T21:02:00Z</dcterms:modified>
</cp:coreProperties>
</file>