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30D97" w14:textId="77777777" w:rsidR="002604D9" w:rsidRDefault="00000000">
      <w:pPr>
        <w:spacing w:after="40"/>
      </w:pPr>
      <w:r>
        <w:rPr>
          <w:rFonts w:ascii="Arial" w:eastAsia="Arial" w:hAnsi="Arial" w:cs="Arial"/>
          <w:b/>
          <w:bCs/>
          <w:color w:val="8A6D1A"/>
        </w:rPr>
        <w:t xml:space="preserve">TreatNOW </w:t>
      </w:r>
      <w:proofErr w:type="gramStart"/>
      <w:r>
        <w:rPr>
          <w:rFonts w:ascii="Arial" w:eastAsia="Arial" w:hAnsi="Arial" w:cs="Arial"/>
          <w:b/>
          <w:bCs/>
          <w:color w:val="8A6D1A"/>
        </w:rPr>
        <w:t>Coalition  |</w:t>
      </w:r>
      <w:proofErr w:type="gramEnd"/>
      <w:r>
        <w:rPr>
          <w:rFonts w:ascii="Arial" w:eastAsia="Arial" w:hAnsi="Arial" w:cs="Arial"/>
          <w:b/>
          <w:bCs/>
          <w:color w:val="8A6D1A"/>
        </w:rPr>
        <w:t xml:space="preserve">  BART Foundation</w:t>
      </w:r>
    </w:p>
    <w:p w14:paraId="6D0D4081" w14:textId="77777777" w:rsidR="002604D9" w:rsidRDefault="00000000">
      <w:pPr>
        <w:spacing w:after="200"/>
      </w:pPr>
      <w:r>
        <w:rPr>
          <w:rFonts w:ascii="Arial" w:eastAsia="Arial" w:hAnsi="Arial" w:cs="Arial"/>
          <w:b/>
          <w:bCs/>
          <w:color w:val="1B3A5C"/>
          <w:sz w:val="34"/>
          <w:szCs w:val="34"/>
        </w:rPr>
        <w:t>Hyperbaric Oxygen Therapy and Multiple Sclerosis: Annotated Bibliography</w:t>
      </w:r>
    </w:p>
    <w:p w14:paraId="30708F39" w14:textId="77777777" w:rsidR="002604D9" w:rsidRDefault="00000000">
      <w:pPr>
        <w:spacing w:after="300"/>
      </w:pPr>
      <w:r>
        <w:rPr>
          <w:rFonts w:ascii="Arial" w:eastAsia="Arial" w:hAnsi="Arial" w:cs="Arial"/>
          <w:i/>
          <w:iCs/>
          <w:color w:val="666666"/>
          <w:sz w:val="18"/>
          <w:szCs w:val="18"/>
        </w:rPr>
        <w:t>Prepared for internal research and legislative-briefing use. Compiled July 2026.</w:t>
      </w:r>
    </w:p>
    <w:p w14:paraId="52DE6702" w14:textId="77777777" w:rsidR="002604D9" w:rsidRDefault="00000000">
      <w:pPr>
        <w:spacing w:after="100"/>
      </w:pPr>
      <w:r>
        <w:rPr>
          <w:rFonts w:ascii="Arial" w:eastAsia="Arial" w:hAnsi="Arial" w:cs="Arial"/>
          <w:b/>
          <w:bCs/>
          <w:color w:val="333333"/>
          <w:sz w:val="18"/>
          <w:szCs w:val="18"/>
        </w:rPr>
        <w:t xml:space="preserve">Access key: </w:t>
      </w:r>
      <w:proofErr w:type="gramStart"/>
      <w:r>
        <w:rPr>
          <w:rFonts w:ascii="Arial" w:eastAsia="Arial" w:hAnsi="Arial" w:cs="Arial"/>
          <w:b/>
          <w:bCs/>
          <w:color w:val="333333"/>
          <w:sz w:val="18"/>
          <w:szCs w:val="18"/>
        </w:rPr>
        <w:t xml:space="preserve"> </w:t>
      </w:r>
      <w:r>
        <w:rPr>
          <w:rFonts w:ascii="Arial" w:eastAsia="Arial" w:hAnsi="Arial" w:cs="Arial"/>
          <w:b/>
          <w:bCs/>
          <w:color w:val="2E7D4F"/>
          <w:sz w:val="15"/>
          <w:szCs w:val="15"/>
        </w:rPr>
        <w:t xml:space="preserve">  [</w:t>
      </w:r>
      <w:proofErr w:type="gramEnd"/>
      <w:r>
        <w:rPr>
          <w:rFonts w:ascii="Arial" w:eastAsia="Arial" w:hAnsi="Arial" w:cs="Arial"/>
          <w:b/>
          <w:bCs/>
          <w:color w:val="2E7D4F"/>
          <w:sz w:val="15"/>
          <w:szCs w:val="15"/>
        </w:rPr>
        <w:t xml:space="preserve">OPEN </w:t>
      </w:r>
      <w:proofErr w:type="gramStart"/>
      <w:r>
        <w:rPr>
          <w:rFonts w:ascii="Arial" w:eastAsia="Arial" w:hAnsi="Arial" w:cs="Arial"/>
          <w:b/>
          <w:bCs/>
          <w:color w:val="2E7D4F"/>
          <w:sz w:val="15"/>
          <w:szCs w:val="15"/>
        </w:rPr>
        <w:t xml:space="preserve">ACCESS]  </w:t>
      </w:r>
      <w:r>
        <w:rPr>
          <w:rFonts w:ascii="Arial" w:eastAsia="Arial" w:hAnsi="Arial" w:cs="Arial"/>
          <w:color w:val="555555"/>
          <w:sz w:val="16"/>
          <w:szCs w:val="16"/>
        </w:rPr>
        <w:t xml:space="preserve"> </w:t>
      </w:r>
      <w:proofErr w:type="gramEnd"/>
      <w:r>
        <w:rPr>
          <w:rFonts w:ascii="Arial" w:eastAsia="Arial" w:hAnsi="Arial" w:cs="Arial"/>
          <w:color w:val="555555"/>
          <w:sz w:val="16"/>
          <w:szCs w:val="16"/>
        </w:rPr>
        <w:t xml:space="preserve">full text </w:t>
      </w:r>
      <w:proofErr w:type="gramStart"/>
      <w:r>
        <w:rPr>
          <w:rFonts w:ascii="Arial" w:eastAsia="Arial" w:hAnsi="Arial" w:cs="Arial"/>
          <w:color w:val="555555"/>
          <w:sz w:val="16"/>
          <w:szCs w:val="16"/>
        </w:rPr>
        <w:t>free  —</w:t>
      </w:r>
      <w:proofErr w:type="gramEnd"/>
      <w:r>
        <w:rPr>
          <w:rFonts w:ascii="Arial" w:eastAsia="Arial" w:hAnsi="Arial" w:cs="Arial"/>
          <w:color w:val="555555"/>
          <w:sz w:val="16"/>
          <w:szCs w:val="16"/>
        </w:rPr>
        <w:t xml:space="preserve"> </w:t>
      </w:r>
      <w:proofErr w:type="gramStart"/>
      <w:r>
        <w:rPr>
          <w:rFonts w:ascii="Arial" w:eastAsia="Arial" w:hAnsi="Arial" w:cs="Arial"/>
          <w:color w:val="555555"/>
          <w:sz w:val="16"/>
          <w:szCs w:val="16"/>
        </w:rPr>
        <w:t xml:space="preserve"> </w:t>
      </w:r>
      <w:r>
        <w:rPr>
          <w:rFonts w:ascii="Arial" w:eastAsia="Arial" w:hAnsi="Arial" w:cs="Arial"/>
          <w:b/>
          <w:bCs/>
          <w:color w:val="A63A3A"/>
          <w:sz w:val="15"/>
          <w:szCs w:val="15"/>
        </w:rPr>
        <w:t xml:space="preserve">  [PAYWALLED]  </w:t>
      </w:r>
      <w:r>
        <w:rPr>
          <w:rFonts w:ascii="Arial" w:eastAsia="Arial" w:hAnsi="Arial" w:cs="Arial"/>
          <w:color w:val="555555"/>
          <w:sz w:val="16"/>
          <w:szCs w:val="16"/>
        </w:rPr>
        <w:t xml:space="preserve"> </w:t>
      </w:r>
      <w:proofErr w:type="gramEnd"/>
      <w:r>
        <w:rPr>
          <w:rFonts w:ascii="Arial" w:eastAsia="Arial" w:hAnsi="Arial" w:cs="Arial"/>
          <w:color w:val="555555"/>
          <w:sz w:val="16"/>
          <w:szCs w:val="16"/>
        </w:rPr>
        <w:t>abstract free, full text requires subscription/</w:t>
      </w:r>
      <w:proofErr w:type="gramStart"/>
      <w:r>
        <w:rPr>
          <w:rFonts w:ascii="Arial" w:eastAsia="Arial" w:hAnsi="Arial" w:cs="Arial"/>
          <w:color w:val="555555"/>
          <w:sz w:val="16"/>
          <w:szCs w:val="16"/>
        </w:rPr>
        <w:t>purchase  —</w:t>
      </w:r>
      <w:proofErr w:type="gramEnd"/>
      <w:r>
        <w:rPr>
          <w:rFonts w:ascii="Arial" w:eastAsia="Arial" w:hAnsi="Arial" w:cs="Arial"/>
          <w:color w:val="555555"/>
          <w:sz w:val="16"/>
          <w:szCs w:val="16"/>
        </w:rPr>
        <w:t xml:space="preserve"> </w:t>
      </w:r>
      <w:proofErr w:type="gramStart"/>
      <w:r>
        <w:rPr>
          <w:rFonts w:ascii="Arial" w:eastAsia="Arial" w:hAnsi="Arial" w:cs="Arial"/>
          <w:color w:val="555555"/>
          <w:sz w:val="16"/>
          <w:szCs w:val="16"/>
        </w:rPr>
        <w:t xml:space="preserve"> </w:t>
      </w:r>
      <w:r>
        <w:rPr>
          <w:rFonts w:ascii="Arial" w:eastAsia="Arial" w:hAnsi="Arial" w:cs="Arial"/>
          <w:b/>
          <w:bCs/>
          <w:color w:val="9C7A0A"/>
          <w:sz w:val="15"/>
          <w:szCs w:val="15"/>
        </w:rPr>
        <w:t xml:space="preserve">  [</w:t>
      </w:r>
      <w:proofErr w:type="gramEnd"/>
      <w:r>
        <w:rPr>
          <w:rFonts w:ascii="Arial" w:eastAsia="Arial" w:hAnsi="Arial" w:cs="Arial"/>
          <w:b/>
          <w:bCs/>
          <w:color w:val="9C7A0A"/>
          <w:sz w:val="15"/>
          <w:szCs w:val="15"/>
        </w:rPr>
        <w:t>ADVOCACY/</w:t>
      </w:r>
      <w:proofErr w:type="gramStart"/>
      <w:r>
        <w:rPr>
          <w:rFonts w:ascii="Arial" w:eastAsia="Arial" w:hAnsi="Arial" w:cs="Arial"/>
          <w:b/>
          <w:bCs/>
          <w:color w:val="9C7A0A"/>
          <w:sz w:val="15"/>
          <w:szCs w:val="15"/>
        </w:rPr>
        <w:t xml:space="preserve">INDUSTRY]  </w:t>
      </w:r>
      <w:r>
        <w:rPr>
          <w:rFonts w:ascii="Arial" w:eastAsia="Arial" w:hAnsi="Arial" w:cs="Arial"/>
          <w:color w:val="555555"/>
          <w:sz w:val="16"/>
          <w:szCs w:val="16"/>
        </w:rPr>
        <w:t xml:space="preserve"> </w:t>
      </w:r>
      <w:proofErr w:type="gramEnd"/>
      <w:r>
        <w:rPr>
          <w:rFonts w:ascii="Arial" w:eastAsia="Arial" w:hAnsi="Arial" w:cs="Arial"/>
          <w:color w:val="555555"/>
          <w:sz w:val="16"/>
          <w:szCs w:val="16"/>
        </w:rPr>
        <w:t>free but hosted by a non-journal site (clinic, charity, blog)</w:t>
      </w:r>
    </w:p>
    <w:p w14:paraId="4A2CE88B" w14:textId="4EB91904" w:rsidR="002604D9" w:rsidRDefault="00EE3F5B">
      <w:pPr>
        <w:pStyle w:val="Heading1"/>
        <w:pBdr>
          <w:bottom w:val="single" w:sz="6" w:space="4" w:color="1B3A5C"/>
        </w:pBdr>
        <w:spacing w:before="400" w:after="160"/>
      </w:pPr>
      <w:r>
        <w:rPr>
          <w:rFonts w:ascii="Arial" w:eastAsia="Arial" w:hAnsi="Arial" w:cs="Arial"/>
          <w:b/>
          <w:bCs/>
          <w:color w:val="1B3A5C"/>
          <w:sz w:val="26"/>
          <w:szCs w:val="26"/>
        </w:rPr>
        <w:t>1</w:t>
      </w:r>
      <w:r w:rsidR="00000000">
        <w:rPr>
          <w:rFonts w:ascii="Arial" w:eastAsia="Arial" w:hAnsi="Arial" w:cs="Arial"/>
          <w:b/>
          <w:bCs/>
          <w:color w:val="1B3A5C"/>
          <w:sz w:val="26"/>
          <w:szCs w:val="26"/>
        </w:rPr>
        <w:t>. Long-Term Observational / Registry Data</w:t>
      </w:r>
    </w:p>
    <w:p w14:paraId="37E1F3F0" w14:textId="77777777" w:rsidR="002604D9" w:rsidRDefault="00000000">
      <w:pPr>
        <w:spacing w:before="100" w:after="80"/>
      </w:pPr>
      <w:r>
        <w:rPr>
          <w:rFonts w:ascii="Arial" w:eastAsia="Arial" w:hAnsi="Arial" w:cs="Arial"/>
          <w:b/>
          <w:bCs/>
          <w:i/>
          <w:iCs/>
          <w:color w:val="8A6D1A"/>
        </w:rPr>
        <w:t>The strongest pro-HBOT source in this bibliography</w:t>
      </w:r>
    </w:p>
    <w:p w14:paraId="7258170D" w14:textId="77777777" w:rsidR="002604D9" w:rsidRDefault="00000000">
      <w:pPr>
        <w:spacing w:before="180" w:after="40"/>
      </w:pPr>
      <w:r>
        <w:rPr>
          <w:rFonts w:ascii="Georgia" w:eastAsia="Georgia" w:hAnsi="Georgia" w:cs="Georgia"/>
          <w:b/>
          <w:bCs/>
          <w:color w:val="1A1A1A"/>
          <w:sz w:val="21"/>
          <w:szCs w:val="21"/>
        </w:rPr>
        <w:t xml:space="preserve">Perrins DJD, James PB. Long-term hyperbaric oxygenation retards progression in multiple sclerosis patients. Int J </w:t>
      </w:r>
      <w:proofErr w:type="spellStart"/>
      <w:r>
        <w:rPr>
          <w:rFonts w:ascii="Georgia" w:eastAsia="Georgia" w:hAnsi="Georgia" w:cs="Georgia"/>
          <w:b/>
          <w:bCs/>
          <w:color w:val="1A1A1A"/>
          <w:sz w:val="21"/>
          <w:szCs w:val="21"/>
        </w:rPr>
        <w:t>Neurosci</w:t>
      </w:r>
      <w:proofErr w:type="spellEnd"/>
      <w:r>
        <w:rPr>
          <w:rFonts w:ascii="Georgia" w:eastAsia="Georgia" w:hAnsi="Georgia" w:cs="Georgia"/>
          <w:b/>
          <w:bCs/>
          <w:color w:val="1A1A1A"/>
          <w:sz w:val="21"/>
          <w:szCs w:val="21"/>
        </w:rPr>
        <w:t xml:space="preserve"> (IJNN), 2005;2:45–48.</w:t>
      </w:r>
    </w:p>
    <w:p w14:paraId="387937E6" w14:textId="77777777" w:rsidR="002604D9" w:rsidRDefault="00000000">
      <w:pPr>
        <w:spacing w:after="40"/>
      </w:pPr>
      <w:r>
        <w:rPr>
          <w:rFonts w:ascii="Georgia" w:eastAsia="Georgia" w:hAnsi="Georgia" w:cs="Georgia"/>
          <w:color w:val="333333"/>
        </w:rPr>
        <w:t>Follow-up on 700+ UK MS Therapy Centre patients. Reports lesser decline and stabilization in those receiving ≥1 HBOT every two weeks vs. those receiving none or &lt;7/year. Observational, non-randomized.</w:t>
      </w:r>
    </w:p>
    <w:p w14:paraId="1D6234DE" w14:textId="77777777" w:rsidR="002604D9" w:rsidRDefault="00000000">
      <w:pPr>
        <w:spacing w:after="20"/>
      </w:pPr>
      <w:hyperlink r:id="rId7" w:history="1">
        <w:r>
          <w:rPr>
            <w:rFonts w:ascii="Arial" w:eastAsia="Arial" w:hAnsi="Arial" w:cs="Arial"/>
            <w:color w:val="1155CC"/>
            <w:sz w:val="18"/>
            <w:szCs w:val="18"/>
            <w:u w:val="single"/>
          </w:rPr>
          <w:t>nardellaclinic.com — full text PDF</w:t>
        </w:r>
      </w:hyperlink>
      <w:r>
        <w:rPr>
          <w:rFonts w:ascii="Arial" w:eastAsia="Arial" w:hAnsi="Arial" w:cs="Arial"/>
          <w:b/>
          <w:bCs/>
          <w:color w:val="2E7D4F"/>
          <w:sz w:val="15"/>
          <w:szCs w:val="15"/>
        </w:rPr>
        <w:t xml:space="preserve">  [OPEN ACCESS]  </w:t>
      </w:r>
    </w:p>
    <w:p w14:paraId="5B92F8F8" w14:textId="77777777" w:rsidR="002604D9" w:rsidRDefault="00000000">
      <w:pPr>
        <w:spacing w:before="180" w:after="40"/>
      </w:pPr>
      <w:r>
        <w:rPr>
          <w:rFonts w:ascii="Georgia" w:eastAsia="Georgia" w:hAnsi="Georgia" w:cs="Georgia"/>
          <w:b/>
          <w:bCs/>
          <w:color w:val="1A1A1A"/>
          <w:sz w:val="21"/>
          <w:szCs w:val="21"/>
        </w:rPr>
        <w:t>James PB. Oxygen Treatment for Multiple Sclerosis Patients. Chapter 22 in Jain KK (ed.), Textbook of Hyperbaric Medicine, 6th ed. Springer, 2017.</w:t>
      </w:r>
    </w:p>
    <w:p w14:paraId="30663782" w14:textId="77777777" w:rsidR="002604D9" w:rsidRDefault="00000000">
      <w:pPr>
        <w:spacing w:after="20"/>
      </w:pPr>
      <w:hyperlink r:id="rId8" w:history="1">
        <w:r>
          <w:rPr>
            <w:rFonts w:ascii="Arial" w:eastAsia="Arial" w:hAnsi="Arial" w:cs="Arial"/>
            <w:color w:val="1155CC"/>
            <w:sz w:val="18"/>
            <w:szCs w:val="18"/>
            <w:u w:val="single"/>
          </w:rPr>
          <w:t>link.springer.com/book/10.1007/978-3-319-47140-2</w:t>
        </w:r>
      </w:hyperlink>
      <w:r>
        <w:rPr>
          <w:rFonts w:ascii="Arial" w:eastAsia="Arial" w:hAnsi="Arial" w:cs="Arial"/>
          <w:b/>
          <w:bCs/>
          <w:color w:val="A63A3A"/>
          <w:sz w:val="15"/>
          <w:szCs w:val="15"/>
        </w:rPr>
        <w:t xml:space="preserve">  [PAYWALLED]  </w:t>
      </w:r>
    </w:p>
    <w:p w14:paraId="5C6C41E7" w14:textId="77777777" w:rsidR="002604D9" w:rsidRDefault="00000000">
      <w:pPr>
        <w:spacing w:before="180" w:after="40"/>
      </w:pPr>
      <w:r>
        <w:rPr>
          <w:rFonts w:ascii="Georgia" w:eastAsia="Georgia" w:hAnsi="Georgia" w:cs="Georgia"/>
          <w:b/>
          <w:bCs/>
          <w:color w:val="1A1A1A"/>
          <w:sz w:val="21"/>
          <w:szCs w:val="21"/>
        </w:rPr>
        <w:t>James PB. Indications for oxygen therapy and the Undersea and Hyperbaric Medical Society. Medical Gas Research, 2023;13(4):219. (</w:t>
      </w:r>
      <w:proofErr w:type="gramStart"/>
      <w:r>
        <w:rPr>
          <w:rFonts w:ascii="Georgia" w:eastAsia="Georgia" w:hAnsi="Georgia" w:cs="Georgia"/>
          <w:b/>
          <w:bCs/>
          <w:color w:val="1A1A1A"/>
          <w:sz w:val="21"/>
          <w:szCs w:val="21"/>
        </w:rPr>
        <w:t>Plus</w:t>
      </w:r>
      <w:proofErr w:type="gramEnd"/>
      <w:r>
        <w:rPr>
          <w:rFonts w:ascii="Georgia" w:eastAsia="Georgia" w:hAnsi="Georgia" w:cs="Georgia"/>
          <w:b/>
          <w:bCs/>
          <w:color w:val="1A1A1A"/>
          <w:sz w:val="21"/>
          <w:szCs w:val="21"/>
        </w:rPr>
        <w:t xml:space="preserve"> his 2024 reply, Med Gas Res 14(4):230–231.)</w:t>
      </w:r>
    </w:p>
    <w:p w14:paraId="4029264A" w14:textId="77777777" w:rsidR="002604D9" w:rsidRDefault="00000000">
      <w:pPr>
        <w:spacing w:after="40"/>
      </w:pPr>
      <w:r>
        <w:rPr>
          <w:rFonts w:ascii="Georgia" w:eastAsia="Georgia" w:hAnsi="Georgia" w:cs="Georgia"/>
          <w:color w:val="333333"/>
        </w:rPr>
        <w:t>James's direct challenge to the UHMS indications framework — useful if arguing the approved-indications list is institutionally, not evidentially, bounded.</w:t>
      </w:r>
    </w:p>
    <w:p w14:paraId="05AEC9E4" w14:textId="77777777" w:rsidR="002604D9" w:rsidRDefault="00000000">
      <w:pPr>
        <w:spacing w:after="20"/>
      </w:pPr>
      <w:hyperlink r:id="rId9" w:history="1">
        <w:r>
          <w:rPr>
            <w:rFonts w:ascii="Arial" w:eastAsia="Arial" w:hAnsi="Arial" w:cs="Arial"/>
            <w:color w:val="1155CC"/>
            <w:sz w:val="18"/>
            <w:szCs w:val="18"/>
            <w:u w:val="single"/>
          </w:rPr>
          <w:t>doi.org/10.4103/2045-9912.372064</w:t>
        </w:r>
      </w:hyperlink>
      <w:r>
        <w:rPr>
          <w:rFonts w:ascii="Arial" w:eastAsia="Arial" w:hAnsi="Arial" w:cs="Arial"/>
          <w:b/>
          <w:bCs/>
          <w:color w:val="2E7D4F"/>
          <w:sz w:val="15"/>
          <w:szCs w:val="15"/>
        </w:rPr>
        <w:t xml:space="preserve">  [OPEN ACCESS]  </w:t>
      </w:r>
    </w:p>
    <w:p w14:paraId="1D83DD9D" w14:textId="0D0FC8D3" w:rsidR="002604D9" w:rsidRDefault="00EE3F5B">
      <w:pPr>
        <w:pStyle w:val="Heading1"/>
        <w:pBdr>
          <w:bottom w:val="single" w:sz="6" w:space="4" w:color="1B3A5C"/>
        </w:pBdr>
        <w:spacing w:before="400" w:after="160"/>
      </w:pPr>
      <w:r>
        <w:rPr>
          <w:rFonts w:ascii="Arial" w:eastAsia="Arial" w:hAnsi="Arial" w:cs="Arial"/>
          <w:b/>
          <w:bCs/>
          <w:color w:val="1B3A5C"/>
          <w:sz w:val="26"/>
          <w:szCs w:val="26"/>
        </w:rPr>
        <w:t>2</w:t>
      </w:r>
      <w:r w:rsidR="00000000">
        <w:rPr>
          <w:rFonts w:ascii="Arial" w:eastAsia="Arial" w:hAnsi="Arial" w:cs="Arial"/>
          <w:b/>
          <w:bCs/>
          <w:color w:val="1B3A5C"/>
          <w:sz w:val="26"/>
          <w:szCs w:val="26"/>
        </w:rPr>
        <w:t>. Mechanistic / Hypoxia Hypothesis — the Live Scientific Thread</w:t>
      </w:r>
    </w:p>
    <w:p w14:paraId="66D982D6" w14:textId="77777777" w:rsidR="002604D9" w:rsidRDefault="00000000">
      <w:pPr>
        <w:spacing w:before="100" w:after="80"/>
      </w:pPr>
      <w:r>
        <w:rPr>
          <w:rFonts w:ascii="Arial" w:eastAsia="Arial" w:hAnsi="Arial" w:cs="Arial"/>
          <w:b/>
          <w:bCs/>
          <w:i/>
          <w:iCs/>
          <w:color w:val="8A6D1A"/>
        </w:rPr>
        <w:t>Where the genuinely current research is happening</w:t>
      </w:r>
    </w:p>
    <w:p w14:paraId="417D2B6D" w14:textId="77777777" w:rsidR="002604D9" w:rsidRDefault="00000000">
      <w:pPr>
        <w:spacing w:before="180" w:after="40"/>
      </w:pPr>
      <w:r>
        <w:rPr>
          <w:rFonts w:ascii="Georgia" w:eastAsia="Georgia" w:hAnsi="Georgia" w:cs="Georgia"/>
          <w:b/>
          <w:bCs/>
          <w:color w:val="1A1A1A"/>
          <w:sz w:val="21"/>
          <w:szCs w:val="21"/>
        </w:rPr>
        <w:t>Halder SK, Milner R. Hypoxia in multiple sclerosis: is it the chicken or the egg? Brain, 2021;144(2):402–410.</w:t>
      </w:r>
    </w:p>
    <w:p w14:paraId="79F7CCB6" w14:textId="77777777" w:rsidR="002604D9" w:rsidRDefault="00000000">
      <w:pPr>
        <w:spacing w:after="20"/>
      </w:pPr>
      <w:hyperlink r:id="rId10" w:history="1">
        <w:r>
          <w:rPr>
            <w:rFonts w:ascii="Arial" w:eastAsia="Arial" w:hAnsi="Arial" w:cs="Arial"/>
            <w:color w:val="1155CC"/>
            <w:sz w:val="18"/>
            <w:szCs w:val="18"/>
            <w:u w:val="single"/>
          </w:rPr>
          <w:t>doi.org/10.1093/brain/awaa427</w:t>
        </w:r>
      </w:hyperlink>
      <w:r>
        <w:rPr>
          <w:rFonts w:ascii="Arial" w:eastAsia="Arial" w:hAnsi="Arial" w:cs="Arial"/>
          <w:b/>
          <w:bCs/>
          <w:color w:val="A63A3A"/>
          <w:sz w:val="15"/>
          <w:szCs w:val="15"/>
        </w:rPr>
        <w:t xml:space="preserve">  [PAYWALLED]  </w:t>
      </w:r>
    </w:p>
    <w:p w14:paraId="32755356" w14:textId="77777777" w:rsidR="002604D9" w:rsidRDefault="00000000">
      <w:pPr>
        <w:spacing w:before="180" w:after="40"/>
      </w:pPr>
      <w:r>
        <w:rPr>
          <w:rFonts w:ascii="Georgia" w:eastAsia="Georgia" w:hAnsi="Georgia" w:cs="Georgia"/>
          <w:b/>
          <w:bCs/>
          <w:color w:val="1A1A1A"/>
          <w:sz w:val="21"/>
          <w:szCs w:val="21"/>
        </w:rPr>
        <w:t>Davies AL, et al. Oxygen treatment reduces neurological deficits and demyelination in two animal models of multiple sclerosis. (Dept. of Neuroinflammation, Queen Square Institute of Neurology, UCL.)</w:t>
      </w:r>
    </w:p>
    <w:p w14:paraId="5A0ACF66" w14:textId="77777777" w:rsidR="002604D9" w:rsidRDefault="00000000">
      <w:pPr>
        <w:spacing w:after="40"/>
      </w:pPr>
      <w:r>
        <w:rPr>
          <w:rFonts w:ascii="Georgia" w:eastAsia="Georgia" w:hAnsi="Georgia" w:cs="Georgia"/>
          <w:color w:val="333333"/>
        </w:rPr>
        <w:t>The inflamed CNS in EAE rats is hypoxic; normobaric oxygen restored normal CNS oxygenation and reduced both neurological deficit and histological damage. Severe deficits in active EAE improved significantly after just one hour of ~95% oxygen.</w:t>
      </w:r>
    </w:p>
    <w:p w14:paraId="6BC36EFE" w14:textId="77777777" w:rsidR="002604D9" w:rsidRDefault="00000000">
      <w:pPr>
        <w:spacing w:after="20"/>
      </w:pPr>
      <w:hyperlink r:id="rId11" w:history="1">
        <w:r>
          <w:rPr>
            <w:rFonts w:ascii="Arial" w:eastAsia="Arial" w:hAnsi="Arial" w:cs="Arial"/>
            <w:color w:val="1155CC"/>
            <w:sz w:val="18"/>
            <w:szCs w:val="18"/>
            <w:u w:val="single"/>
          </w:rPr>
          <w:t>pmc.ncbi.nlm.nih.gov/articles/PMC10107096</w:t>
        </w:r>
      </w:hyperlink>
      <w:r>
        <w:rPr>
          <w:rFonts w:ascii="Arial" w:eastAsia="Arial" w:hAnsi="Arial" w:cs="Arial"/>
          <w:b/>
          <w:bCs/>
          <w:color w:val="2E7D4F"/>
          <w:sz w:val="15"/>
          <w:szCs w:val="15"/>
        </w:rPr>
        <w:t xml:space="preserve">  [OPEN ACCESS]  </w:t>
      </w:r>
    </w:p>
    <w:p w14:paraId="4385F88A" w14:textId="77777777" w:rsidR="002604D9" w:rsidRDefault="00000000">
      <w:pPr>
        <w:spacing w:before="180" w:after="40"/>
      </w:pPr>
      <w:r>
        <w:rPr>
          <w:rFonts w:ascii="Georgia" w:eastAsia="Georgia" w:hAnsi="Georgia" w:cs="Georgia"/>
          <w:b/>
          <w:bCs/>
          <w:color w:val="1A1A1A"/>
          <w:sz w:val="21"/>
          <w:szCs w:val="21"/>
        </w:rPr>
        <w:t>Hyperbaric Oxygen Therapy Alleviates Autoimmune Encephalomyelitis via Reduction of IL-17a and GM-CSF Production of Autoreactive T Cells and Boosting Immunosuppressive IL-10 in CNS Tissue Lesions.</w:t>
      </w:r>
    </w:p>
    <w:p w14:paraId="059CA020" w14:textId="77777777" w:rsidR="002604D9" w:rsidRDefault="00000000">
      <w:pPr>
        <w:spacing w:after="20"/>
      </w:pPr>
      <w:hyperlink r:id="rId12" w:history="1">
        <w:r>
          <w:rPr>
            <w:rFonts w:ascii="Arial" w:eastAsia="Arial" w:hAnsi="Arial" w:cs="Arial"/>
            <w:color w:val="1155CC"/>
            <w:sz w:val="18"/>
            <w:szCs w:val="18"/>
            <w:u w:val="single"/>
          </w:rPr>
          <w:t>ncbi.nlm.nih.gov/</w:t>
        </w:r>
        <w:proofErr w:type="spellStart"/>
        <w:r>
          <w:rPr>
            <w:rFonts w:ascii="Arial" w:eastAsia="Arial" w:hAnsi="Arial" w:cs="Arial"/>
            <w:color w:val="1155CC"/>
            <w:sz w:val="18"/>
            <w:szCs w:val="18"/>
            <w:u w:val="single"/>
          </w:rPr>
          <w:t>pmc</w:t>
        </w:r>
        <w:proofErr w:type="spellEnd"/>
        <w:r>
          <w:rPr>
            <w:rFonts w:ascii="Arial" w:eastAsia="Arial" w:hAnsi="Arial" w:cs="Arial"/>
            <w:color w:val="1155CC"/>
            <w:sz w:val="18"/>
            <w:szCs w:val="18"/>
            <w:u w:val="single"/>
          </w:rPr>
          <w:t>/articles/PMC8391387</w:t>
        </w:r>
      </w:hyperlink>
      <w:r>
        <w:rPr>
          <w:rFonts w:ascii="Arial" w:eastAsia="Arial" w:hAnsi="Arial" w:cs="Arial"/>
          <w:b/>
          <w:bCs/>
          <w:color w:val="2E7D4F"/>
          <w:sz w:val="15"/>
          <w:szCs w:val="15"/>
        </w:rPr>
        <w:t xml:space="preserve">  [OPEN ACCESS]  </w:t>
      </w:r>
    </w:p>
    <w:p w14:paraId="64B7A4DE" w14:textId="77777777" w:rsidR="002604D9" w:rsidRDefault="00000000">
      <w:pPr>
        <w:spacing w:before="180" w:after="40"/>
      </w:pPr>
      <w:proofErr w:type="spellStart"/>
      <w:r>
        <w:rPr>
          <w:rFonts w:ascii="Georgia" w:eastAsia="Georgia" w:hAnsi="Georgia" w:cs="Georgia"/>
          <w:b/>
          <w:bCs/>
          <w:color w:val="1A1A1A"/>
          <w:sz w:val="21"/>
          <w:szCs w:val="21"/>
        </w:rPr>
        <w:t>Khalatbary</w:t>
      </w:r>
      <w:proofErr w:type="spellEnd"/>
      <w:r>
        <w:rPr>
          <w:rFonts w:ascii="Georgia" w:eastAsia="Georgia" w:hAnsi="Georgia" w:cs="Georgia"/>
          <w:b/>
          <w:bCs/>
          <w:color w:val="1A1A1A"/>
          <w:sz w:val="21"/>
          <w:szCs w:val="21"/>
        </w:rPr>
        <w:t xml:space="preserve"> AR. A review on the neuroprotective effects of hyperbaric oxygen therapy. Medical Gas Research, 2021;11(2):72–82.</w:t>
      </w:r>
    </w:p>
    <w:p w14:paraId="743CD028" w14:textId="77777777" w:rsidR="002604D9" w:rsidRDefault="00000000">
      <w:pPr>
        <w:spacing w:after="20"/>
      </w:pPr>
      <w:hyperlink r:id="rId13" w:history="1">
        <w:r>
          <w:rPr>
            <w:rFonts w:ascii="Arial" w:eastAsia="Arial" w:hAnsi="Arial" w:cs="Arial"/>
            <w:color w:val="1155CC"/>
            <w:sz w:val="18"/>
            <w:szCs w:val="18"/>
            <w:u w:val="single"/>
          </w:rPr>
          <w:t>doi.org/10.4103/2045-9912.311498</w:t>
        </w:r>
      </w:hyperlink>
      <w:r>
        <w:rPr>
          <w:rFonts w:ascii="Arial" w:eastAsia="Arial" w:hAnsi="Arial" w:cs="Arial"/>
          <w:b/>
          <w:bCs/>
          <w:color w:val="2E7D4F"/>
          <w:sz w:val="15"/>
          <w:szCs w:val="15"/>
        </w:rPr>
        <w:t xml:space="preserve">  [OPEN ACCESS]  </w:t>
      </w:r>
    </w:p>
    <w:p w14:paraId="5C0A83DE" w14:textId="77777777" w:rsidR="002604D9" w:rsidRDefault="00000000">
      <w:pPr>
        <w:spacing w:before="180" w:after="40"/>
      </w:pPr>
      <w:r>
        <w:rPr>
          <w:rFonts w:ascii="Georgia" w:eastAsia="Georgia" w:hAnsi="Georgia" w:cs="Georgia"/>
          <w:b/>
          <w:bCs/>
          <w:color w:val="1A1A1A"/>
          <w:sz w:val="21"/>
          <w:szCs w:val="21"/>
        </w:rPr>
        <w:lastRenderedPageBreak/>
        <w:t xml:space="preserve">Moore L, Eggleton P, Smerdon G, Newcombe J, Holley JE, Gutowski NJ, Smallwood M. Engagement of people with multiple sclerosis to enhance research into the physiological effect of hyperbaric oxygen therapy. Mult </w:t>
      </w:r>
      <w:proofErr w:type="spellStart"/>
      <w:r>
        <w:rPr>
          <w:rFonts w:ascii="Georgia" w:eastAsia="Georgia" w:hAnsi="Georgia" w:cs="Georgia"/>
          <w:b/>
          <w:bCs/>
          <w:color w:val="1A1A1A"/>
          <w:sz w:val="21"/>
          <w:szCs w:val="21"/>
        </w:rPr>
        <w:t>Scler</w:t>
      </w:r>
      <w:proofErr w:type="spellEnd"/>
      <w:r>
        <w:rPr>
          <w:rFonts w:ascii="Georgia" w:eastAsia="Georgia" w:hAnsi="Georgia" w:cs="Georgia"/>
          <w:b/>
          <w:bCs/>
          <w:color w:val="1A1A1A"/>
          <w:sz w:val="21"/>
          <w:szCs w:val="21"/>
        </w:rPr>
        <w:t xml:space="preserve"> </w:t>
      </w:r>
      <w:proofErr w:type="spellStart"/>
      <w:r>
        <w:rPr>
          <w:rFonts w:ascii="Georgia" w:eastAsia="Georgia" w:hAnsi="Georgia" w:cs="Georgia"/>
          <w:b/>
          <w:bCs/>
          <w:color w:val="1A1A1A"/>
          <w:sz w:val="21"/>
          <w:szCs w:val="21"/>
        </w:rPr>
        <w:t>Relat</w:t>
      </w:r>
      <w:proofErr w:type="spellEnd"/>
      <w:r>
        <w:rPr>
          <w:rFonts w:ascii="Georgia" w:eastAsia="Georgia" w:hAnsi="Georgia" w:cs="Georgia"/>
          <w:b/>
          <w:bCs/>
          <w:color w:val="1A1A1A"/>
          <w:sz w:val="21"/>
          <w:szCs w:val="21"/>
        </w:rPr>
        <w:t xml:space="preserve"> </w:t>
      </w:r>
      <w:proofErr w:type="spellStart"/>
      <w:r>
        <w:rPr>
          <w:rFonts w:ascii="Georgia" w:eastAsia="Georgia" w:hAnsi="Georgia" w:cs="Georgia"/>
          <w:b/>
          <w:bCs/>
          <w:color w:val="1A1A1A"/>
          <w:sz w:val="21"/>
          <w:szCs w:val="21"/>
        </w:rPr>
        <w:t>Disord</w:t>
      </w:r>
      <w:proofErr w:type="spellEnd"/>
      <w:r>
        <w:rPr>
          <w:rFonts w:ascii="Georgia" w:eastAsia="Georgia" w:hAnsi="Georgia" w:cs="Georgia"/>
          <w:b/>
          <w:bCs/>
          <w:color w:val="1A1A1A"/>
          <w:sz w:val="21"/>
          <w:szCs w:val="21"/>
        </w:rPr>
        <w:t>, 2020;43:102084.</w:t>
      </w:r>
    </w:p>
    <w:p w14:paraId="1A71C6E0" w14:textId="77777777" w:rsidR="002604D9" w:rsidRDefault="00000000">
      <w:pPr>
        <w:spacing w:after="40"/>
      </w:pPr>
      <w:r>
        <w:rPr>
          <w:rFonts w:ascii="Georgia" w:eastAsia="Georgia" w:hAnsi="Georgia" w:cs="Georgia"/>
          <w:color w:val="333333"/>
        </w:rPr>
        <w:t>Argues that conventional disability scores used in the 1980s trials fail to capture what patients report — likely the most useful methodological citation in this set.</w:t>
      </w:r>
    </w:p>
    <w:p w14:paraId="19E73015" w14:textId="77777777" w:rsidR="002604D9" w:rsidRDefault="00000000">
      <w:pPr>
        <w:spacing w:after="20"/>
        <w:rPr>
          <w:rFonts w:ascii="Arial" w:eastAsia="Arial" w:hAnsi="Arial" w:cs="Arial"/>
          <w:b/>
          <w:bCs/>
          <w:color w:val="A63A3A"/>
          <w:sz w:val="15"/>
          <w:szCs w:val="15"/>
        </w:rPr>
      </w:pPr>
      <w:hyperlink r:id="rId14" w:history="1">
        <w:r>
          <w:rPr>
            <w:rFonts w:ascii="Arial" w:eastAsia="Arial" w:hAnsi="Arial" w:cs="Arial"/>
            <w:color w:val="1155CC"/>
            <w:sz w:val="18"/>
            <w:szCs w:val="18"/>
            <w:u w:val="single"/>
          </w:rPr>
          <w:t>doi.org/10.1016/j.msard.2020.102084</w:t>
        </w:r>
      </w:hyperlink>
      <w:r>
        <w:rPr>
          <w:rFonts w:ascii="Arial" w:eastAsia="Arial" w:hAnsi="Arial" w:cs="Arial"/>
          <w:b/>
          <w:bCs/>
          <w:color w:val="A63A3A"/>
          <w:sz w:val="15"/>
          <w:szCs w:val="15"/>
        </w:rPr>
        <w:t xml:space="preserve">  [PAYWALLED]  </w:t>
      </w:r>
    </w:p>
    <w:p w14:paraId="64F35724" w14:textId="1A15274E" w:rsidR="00EE3F5B" w:rsidRDefault="00EE3F5B" w:rsidP="00EE3F5B">
      <w:pPr>
        <w:pStyle w:val="Heading1"/>
        <w:pBdr>
          <w:bottom w:val="single" w:sz="6" w:space="4" w:color="1B3A5C"/>
        </w:pBdr>
        <w:spacing w:before="400" w:after="160"/>
      </w:pPr>
      <w:r>
        <w:rPr>
          <w:rFonts w:ascii="Arial" w:eastAsia="Arial" w:hAnsi="Arial" w:cs="Arial"/>
          <w:b/>
          <w:bCs/>
          <w:color w:val="1B3A5C"/>
          <w:sz w:val="26"/>
          <w:szCs w:val="26"/>
        </w:rPr>
        <w:t>3</w:t>
      </w:r>
      <w:r>
        <w:rPr>
          <w:rFonts w:ascii="Arial" w:eastAsia="Arial" w:hAnsi="Arial" w:cs="Arial"/>
          <w:b/>
          <w:bCs/>
          <w:color w:val="1B3A5C"/>
          <w:sz w:val="26"/>
          <w:szCs w:val="26"/>
        </w:rPr>
        <w:t>. Systematic Reviews &amp; Meta-Analyses — Controlling Evidence</w:t>
      </w:r>
    </w:p>
    <w:p w14:paraId="6662D9B1" w14:textId="77777777" w:rsidR="00EE3F5B" w:rsidRDefault="00EE3F5B" w:rsidP="00EE3F5B">
      <w:pPr>
        <w:spacing w:before="180" w:after="40"/>
      </w:pPr>
      <w:r>
        <w:rPr>
          <w:rFonts w:ascii="Georgia" w:eastAsia="Georgia" w:hAnsi="Georgia" w:cs="Georgia"/>
          <w:b/>
          <w:bCs/>
          <w:color w:val="1A1A1A"/>
          <w:sz w:val="21"/>
          <w:szCs w:val="21"/>
        </w:rPr>
        <w:t>Bennett MH, Heard R. Hyperbaric oxygen therapy for multiple sclerosis. Cochrane Database of Systematic Reviews, 2004 (updated 2011). CD003057.</w:t>
      </w:r>
    </w:p>
    <w:p w14:paraId="79463E6E" w14:textId="77777777" w:rsidR="00EE3F5B" w:rsidRDefault="00EE3F5B" w:rsidP="00EE3F5B">
      <w:pPr>
        <w:spacing w:after="40"/>
      </w:pPr>
      <w:r>
        <w:rPr>
          <w:rFonts w:ascii="Georgia" w:eastAsia="Georgia" w:hAnsi="Georgia" w:cs="Georgia"/>
          <w:color w:val="333333"/>
        </w:rPr>
        <w:t>Review of nine RCTs found no consistent evidence of benefit; routine use is not justified. Isolated positive findings were judged difficult to ascribe biological plausibility.</w:t>
      </w:r>
    </w:p>
    <w:p w14:paraId="16D5E7B7" w14:textId="77777777" w:rsidR="00EE3F5B" w:rsidRDefault="00EE3F5B" w:rsidP="00EE3F5B">
      <w:pPr>
        <w:spacing w:after="20"/>
      </w:pPr>
      <w:hyperlink r:id="rId15" w:history="1">
        <w:r>
          <w:rPr>
            <w:rFonts w:ascii="Arial" w:eastAsia="Arial" w:hAnsi="Arial" w:cs="Arial"/>
            <w:color w:val="1155CC"/>
            <w:sz w:val="18"/>
            <w:szCs w:val="18"/>
            <w:u w:val="single"/>
          </w:rPr>
          <w:t>cochranelibrary.com/</w:t>
        </w:r>
        <w:proofErr w:type="spellStart"/>
        <w:r>
          <w:rPr>
            <w:rFonts w:ascii="Arial" w:eastAsia="Arial" w:hAnsi="Arial" w:cs="Arial"/>
            <w:color w:val="1155CC"/>
            <w:sz w:val="18"/>
            <w:szCs w:val="18"/>
            <w:u w:val="single"/>
          </w:rPr>
          <w:t>cdsr</w:t>
        </w:r>
        <w:proofErr w:type="spellEnd"/>
        <w:r>
          <w:rPr>
            <w:rFonts w:ascii="Arial" w:eastAsia="Arial" w:hAnsi="Arial" w:cs="Arial"/>
            <w:color w:val="1155CC"/>
            <w:sz w:val="18"/>
            <w:szCs w:val="18"/>
            <w:u w:val="single"/>
          </w:rPr>
          <w:t>/</w:t>
        </w:r>
        <w:proofErr w:type="spellStart"/>
        <w:r>
          <w:rPr>
            <w:rFonts w:ascii="Arial" w:eastAsia="Arial" w:hAnsi="Arial" w:cs="Arial"/>
            <w:color w:val="1155CC"/>
            <w:sz w:val="18"/>
            <w:szCs w:val="18"/>
            <w:u w:val="single"/>
          </w:rPr>
          <w:t>doi</w:t>
        </w:r>
        <w:proofErr w:type="spellEnd"/>
        <w:r>
          <w:rPr>
            <w:rFonts w:ascii="Arial" w:eastAsia="Arial" w:hAnsi="Arial" w:cs="Arial"/>
            <w:color w:val="1155CC"/>
            <w:sz w:val="18"/>
            <w:szCs w:val="18"/>
            <w:u w:val="single"/>
          </w:rPr>
          <w:t>/10.1002/14651858.CD003057.pub2</w:t>
        </w:r>
      </w:hyperlink>
      <w:r>
        <w:rPr>
          <w:rFonts w:ascii="Arial" w:eastAsia="Arial" w:hAnsi="Arial" w:cs="Arial"/>
          <w:b/>
          <w:bCs/>
          <w:color w:val="A63A3A"/>
          <w:sz w:val="15"/>
          <w:szCs w:val="15"/>
        </w:rPr>
        <w:t xml:space="preserve">  [PAYWALLED]  </w:t>
      </w:r>
    </w:p>
    <w:p w14:paraId="272724BC" w14:textId="77777777" w:rsidR="00EE3F5B" w:rsidRDefault="00EE3F5B" w:rsidP="00EE3F5B">
      <w:pPr>
        <w:spacing w:before="180" w:after="40"/>
      </w:pPr>
      <w:r>
        <w:rPr>
          <w:rFonts w:ascii="Georgia" w:eastAsia="Georgia" w:hAnsi="Georgia" w:cs="Georgia"/>
          <w:b/>
          <w:bCs/>
          <w:color w:val="1A1A1A"/>
          <w:sz w:val="21"/>
          <w:szCs w:val="21"/>
        </w:rPr>
        <w:t>Plain-language summary of the above.</w:t>
      </w:r>
    </w:p>
    <w:p w14:paraId="23B8FE31" w14:textId="77777777" w:rsidR="00EE3F5B" w:rsidRDefault="00EE3F5B" w:rsidP="00EE3F5B">
      <w:pPr>
        <w:spacing w:after="20"/>
      </w:pPr>
      <w:hyperlink r:id="rId16" w:history="1">
        <w:r>
          <w:rPr>
            <w:rFonts w:ascii="Arial" w:eastAsia="Arial" w:hAnsi="Arial" w:cs="Arial"/>
            <w:color w:val="1155CC"/>
            <w:sz w:val="18"/>
            <w:szCs w:val="18"/>
            <w:u w:val="single"/>
          </w:rPr>
          <w:t>cochrane.org — plain-language summary</w:t>
        </w:r>
      </w:hyperlink>
      <w:r>
        <w:rPr>
          <w:rFonts w:ascii="Arial" w:eastAsia="Arial" w:hAnsi="Arial" w:cs="Arial"/>
          <w:b/>
          <w:bCs/>
          <w:color w:val="2E7D4F"/>
          <w:sz w:val="15"/>
          <w:szCs w:val="15"/>
        </w:rPr>
        <w:t xml:space="preserve">  [OPEN ACCESS]  </w:t>
      </w:r>
    </w:p>
    <w:p w14:paraId="0AFC52A1" w14:textId="77777777" w:rsidR="00EE3F5B" w:rsidRDefault="00EE3F5B" w:rsidP="00EE3F5B">
      <w:pPr>
        <w:spacing w:before="180" w:after="40"/>
      </w:pPr>
      <w:r>
        <w:rPr>
          <w:rFonts w:ascii="Georgia" w:eastAsia="Georgia" w:hAnsi="Georgia" w:cs="Georgia"/>
          <w:b/>
          <w:bCs/>
          <w:color w:val="1A1A1A"/>
          <w:sz w:val="21"/>
          <w:szCs w:val="21"/>
        </w:rPr>
        <w:t>Bennett M, Heard R. Hyperbaric Oxygen Therapy for Multiple Sclerosis. CNS Neuroscience &amp; Therapeutics, 2010;16(2):115–124.</w:t>
      </w:r>
    </w:p>
    <w:p w14:paraId="0CFAA024" w14:textId="77777777" w:rsidR="00EE3F5B" w:rsidRDefault="00EE3F5B" w:rsidP="00EE3F5B">
      <w:pPr>
        <w:spacing w:after="40"/>
      </w:pPr>
      <w:r>
        <w:rPr>
          <w:rFonts w:ascii="Georgia" w:eastAsia="Georgia" w:hAnsi="Georgia" w:cs="Georgia"/>
          <w:color w:val="333333"/>
        </w:rPr>
        <w:t>Identified 12 randomized studies, all conducted 1983–1987; meta-analysis found no clinically significant benefit. Most trials used ~20 treatments at 1.75–2.5 ATA, 60–120 min, over four weeks against placebo. Reference list is effectively the complete 1983–87 trial inventory.</w:t>
      </w:r>
    </w:p>
    <w:p w14:paraId="05DE3AA8" w14:textId="77777777" w:rsidR="00EE3F5B" w:rsidRDefault="00EE3F5B" w:rsidP="00EE3F5B">
      <w:pPr>
        <w:spacing w:after="20"/>
      </w:pPr>
      <w:hyperlink r:id="rId17" w:history="1">
        <w:r>
          <w:rPr>
            <w:rFonts w:ascii="Arial" w:eastAsia="Arial" w:hAnsi="Arial" w:cs="Arial"/>
            <w:color w:val="1155CC"/>
            <w:sz w:val="18"/>
            <w:szCs w:val="18"/>
            <w:u w:val="single"/>
          </w:rPr>
          <w:t>o2healthlab.com — full text PDF</w:t>
        </w:r>
      </w:hyperlink>
      <w:r>
        <w:rPr>
          <w:rFonts w:ascii="Arial" w:eastAsia="Arial" w:hAnsi="Arial" w:cs="Arial"/>
          <w:b/>
          <w:bCs/>
          <w:color w:val="2E7D4F"/>
          <w:sz w:val="15"/>
          <w:szCs w:val="15"/>
        </w:rPr>
        <w:t xml:space="preserve">  [OPEN ACCESS]  </w:t>
      </w:r>
    </w:p>
    <w:p w14:paraId="397CEDA3" w14:textId="77777777" w:rsidR="00EE3F5B" w:rsidRDefault="00EE3F5B" w:rsidP="00EE3F5B">
      <w:pPr>
        <w:spacing w:before="180" w:after="40"/>
      </w:pPr>
      <w:proofErr w:type="spellStart"/>
      <w:r>
        <w:rPr>
          <w:rFonts w:ascii="Georgia" w:eastAsia="Georgia" w:hAnsi="Georgia" w:cs="Georgia"/>
          <w:b/>
          <w:bCs/>
          <w:color w:val="1A1A1A"/>
          <w:sz w:val="21"/>
          <w:szCs w:val="21"/>
        </w:rPr>
        <w:t>Kleijnen</w:t>
      </w:r>
      <w:proofErr w:type="spellEnd"/>
      <w:r>
        <w:rPr>
          <w:rFonts w:ascii="Georgia" w:eastAsia="Georgia" w:hAnsi="Georgia" w:cs="Georgia"/>
          <w:b/>
          <w:bCs/>
          <w:color w:val="1A1A1A"/>
          <w:sz w:val="21"/>
          <w:szCs w:val="21"/>
        </w:rPr>
        <w:t xml:space="preserve"> J, </w:t>
      </w:r>
      <w:proofErr w:type="spellStart"/>
      <w:r>
        <w:rPr>
          <w:rFonts w:ascii="Georgia" w:eastAsia="Georgia" w:hAnsi="Georgia" w:cs="Georgia"/>
          <w:b/>
          <w:bCs/>
          <w:color w:val="1A1A1A"/>
          <w:sz w:val="21"/>
          <w:szCs w:val="21"/>
        </w:rPr>
        <w:t>Knipschild</w:t>
      </w:r>
      <w:proofErr w:type="spellEnd"/>
      <w:r>
        <w:rPr>
          <w:rFonts w:ascii="Georgia" w:eastAsia="Georgia" w:hAnsi="Georgia" w:cs="Georgia"/>
          <w:b/>
          <w:bCs/>
          <w:color w:val="1A1A1A"/>
          <w:sz w:val="21"/>
          <w:szCs w:val="21"/>
        </w:rPr>
        <w:t xml:space="preserve"> P. Hyperbaric oxygen for multiple sclerosis: review of controlled trials. Acta </w:t>
      </w:r>
      <w:proofErr w:type="spellStart"/>
      <w:r>
        <w:rPr>
          <w:rFonts w:ascii="Georgia" w:eastAsia="Georgia" w:hAnsi="Georgia" w:cs="Georgia"/>
          <w:b/>
          <w:bCs/>
          <w:color w:val="1A1A1A"/>
          <w:sz w:val="21"/>
          <w:szCs w:val="21"/>
        </w:rPr>
        <w:t>Neurologica</w:t>
      </w:r>
      <w:proofErr w:type="spellEnd"/>
      <w:r>
        <w:rPr>
          <w:rFonts w:ascii="Georgia" w:eastAsia="Georgia" w:hAnsi="Georgia" w:cs="Georgia"/>
          <w:b/>
          <w:bCs/>
          <w:color w:val="1A1A1A"/>
          <w:sz w:val="21"/>
          <w:szCs w:val="21"/>
        </w:rPr>
        <w:t xml:space="preserve"> Scandinavica, 1995;91(5):330–334.</w:t>
      </w:r>
    </w:p>
    <w:p w14:paraId="08B55F4F" w14:textId="77777777" w:rsidR="00EE3F5B" w:rsidRDefault="00EE3F5B" w:rsidP="00EE3F5B">
      <w:pPr>
        <w:spacing w:after="20"/>
      </w:pPr>
      <w:hyperlink r:id="rId18" w:history="1">
        <w:r>
          <w:rPr>
            <w:rFonts w:ascii="Arial" w:eastAsia="Arial" w:hAnsi="Arial" w:cs="Arial"/>
            <w:color w:val="1155CC"/>
            <w:sz w:val="18"/>
            <w:szCs w:val="18"/>
            <w:u w:val="single"/>
          </w:rPr>
          <w:t>pubmed.ncbi.nlm.nih.gov/7639063</w:t>
        </w:r>
      </w:hyperlink>
      <w:r>
        <w:rPr>
          <w:rFonts w:ascii="Arial" w:eastAsia="Arial" w:hAnsi="Arial" w:cs="Arial"/>
          <w:b/>
          <w:bCs/>
          <w:color w:val="A63A3A"/>
          <w:sz w:val="15"/>
          <w:szCs w:val="15"/>
        </w:rPr>
        <w:t xml:space="preserve">  [PAYWALLED]  </w:t>
      </w:r>
    </w:p>
    <w:p w14:paraId="31160C0D" w14:textId="77777777" w:rsidR="00EE3F5B" w:rsidRDefault="00EE3F5B" w:rsidP="00EE3F5B">
      <w:pPr>
        <w:spacing w:before="180" w:after="40"/>
      </w:pPr>
      <w:r>
        <w:rPr>
          <w:rFonts w:ascii="Georgia" w:eastAsia="Georgia" w:hAnsi="Georgia" w:cs="Georgia"/>
          <w:b/>
          <w:bCs/>
          <w:color w:val="1A1A1A"/>
          <w:sz w:val="21"/>
          <w:szCs w:val="21"/>
        </w:rPr>
        <w:t>Amatya B, Khan F, Galea M. Rehabilitation for people with multiple sclerosis: an overview of Cochrane Reviews. Cochrane Database Syst Rev, 2019.</w:t>
      </w:r>
    </w:p>
    <w:p w14:paraId="35D92AF6" w14:textId="77777777" w:rsidR="00EE3F5B" w:rsidRDefault="00EE3F5B" w:rsidP="00EE3F5B">
      <w:pPr>
        <w:spacing w:after="40"/>
      </w:pPr>
      <w:r>
        <w:rPr>
          <w:rFonts w:ascii="Georgia" w:eastAsia="Georgia" w:hAnsi="Georgia" w:cs="Georgia"/>
          <w:color w:val="333333"/>
        </w:rPr>
        <w:t>Places HBOT alongside 14 other MS rehabilitation modalities across 15 Cochrane reviews.</w:t>
      </w:r>
    </w:p>
    <w:p w14:paraId="6751E9D8" w14:textId="77777777" w:rsidR="00EE3F5B" w:rsidRDefault="00EE3F5B" w:rsidP="00EE3F5B">
      <w:pPr>
        <w:spacing w:after="20"/>
      </w:pPr>
      <w:hyperlink r:id="rId19" w:history="1">
        <w:r>
          <w:rPr>
            <w:rFonts w:ascii="Arial" w:eastAsia="Arial" w:hAnsi="Arial" w:cs="Arial"/>
            <w:color w:val="1155CC"/>
            <w:sz w:val="18"/>
            <w:szCs w:val="18"/>
            <w:u w:val="single"/>
          </w:rPr>
          <w:t>pubmed.ncbi.nlm.nih.gov/30637728</w:t>
        </w:r>
      </w:hyperlink>
      <w:r>
        <w:rPr>
          <w:rFonts w:ascii="Arial" w:eastAsia="Arial" w:hAnsi="Arial" w:cs="Arial"/>
          <w:b/>
          <w:bCs/>
          <w:color w:val="A63A3A"/>
          <w:sz w:val="15"/>
          <w:szCs w:val="15"/>
        </w:rPr>
        <w:t xml:space="preserve">  [PAYWALLED]  </w:t>
      </w:r>
    </w:p>
    <w:p w14:paraId="4C84F270" w14:textId="42461D10" w:rsidR="00EE3F5B" w:rsidRDefault="00EE3F5B" w:rsidP="00EE3F5B">
      <w:pPr>
        <w:pStyle w:val="Heading1"/>
        <w:pBdr>
          <w:bottom w:val="single" w:sz="6" w:space="4" w:color="1B3A5C"/>
        </w:pBdr>
        <w:spacing w:before="400" w:after="160"/>
      </w:pPr>
      <w:r>
        <w:rPr>
          <w:rFonts w:ascii="Arial" w:eastAsia="Arial" w:hAnsi="Arial" w:cs="Arial"/>
          <w:b/>
          <w:bCs/>
          <w:color w:val="1B3A5C"/>
          <w:sz w:val="26"/>
          <w:szCs w:val="26"/>
        </w:rPr>
        <w:t>4</w:t>
      </w:r>
      <w:r>
        <w:rPr>
          <w:rFonts w:ascii="Arial" w:eastAsia="Arial" w:hAnsi="Arial" w:cs="Arial"/>
          <w:b/>
          <w:bCs/>
          <w:color w:val="1B3A5C"/>
          <w:sz w:val="26"/>
          <w:szCs w:val="26"/>
        </w:rPr>
        <w:t>. Primary Randomized Trials (1983–1987)</w:t>
      </w:r>
    </w:p>
    <w:p w14:paraId="23558CE7" w14:textId="77777777" w:rsidR="00EE3F5B" w:rsidRDefault="00EE3F5B" w:rsidP="00EE3F5B">
      <w:pPr>
        <w:spacing w:before="180" w:after="40"/>
      </w:pPr>
      <w:r>
        <w:rPr>
          <w:rFonts w:ascii="Georgia" w:eastAsia="Georgia" w:hAnsi="Georgia" w:cs="Georgia"/>
          <w:b/>
          <w:bCs/>
          <w:color w:val="1A1A1A"/>
          <w:sz w:val="21"/>
          <w:szCs w:val="21"/>
        </w:rPr>
        <w:t>Fischer BH, Marks M, Reich T. Hyperbaric-oxygen treatment of multiple sclerosis: a randomized, placebo-controlled, double-blind study. NEJM, 1983;308(4):181–186. — the foundational positive trial.</w:t>
      </w:r>
    </w:p>
    <w:p w14:paraId="240B4812" w14:textId="77777777" w:rsidR="00EE3F5B" w:rsidRDefault="00EE3F5B" w:rsidP="00EE3F5B">
      <w:pPr>
        <w:spacing w:after="40"/>
      </w:pPr>
      <w:r>
        <w:rPr>
          <w:rFonts w:ascii="Georgia" w:eastAsia="Georgia" w:hAnsi="Georgia" w:cs="Georgia"/>
          <w:color w:val="333333"/>
        </w:rPr>
        <w:t>40 patients with advanced chronic MS, 20 exposures at 2 ATA / 90 min. Objective improvement in 12/17 oxygen patients vs 1/20 placebo (P&lt;0.0001). At one year, deterioration in 12% of oxygen group vs 55% of placebo group.</w:t>
      </w:r>
    </w:p>
    <w:p w14:paraId="5FD89F52" w14:textId="77777777" w:rsidR="00EE3F5B" w:rsidRDefault="00EE3F5B" w:rsidP="00EE3F5B">
      <w:pPr>
        <w:spacing w:after="20"/>
      </w:pPr>
      <w:hyperlink r:id="rId20" w:history="1">
        <w:r>
          <w:rPr>
            <w:rFonts w:ascii="Arial" w:eastAsia="Arial" w:hAnsi="Arial" w:cs="Arial"/>
            <w:color w:val="1155CC"/>
            <w:sz w:val="18"/>
            <w:szCs w:val="18"/>
            <w:u w:val="single"/>
          </w:rPr>
          <w:t>nejm.org/</w:t>
        </w:r>
        <w:proofErr w:type="spellStart"/>
        <w:r>
          <w:rPr>
            <w:rFonts w:ascii="Arial" w:eastAsia="Arial" w:hAnsi="Arial" w:cs="Arial"/>
            <w:color w:val="1155CC"/>
            <w:sz w:val="18"/>
            <w:szCs w:val="18"/>
            <w:u w:val="single"/>
          </w:rPr>
          <w:t>doi</w:t>
        </w:r>
        <w:proofErr w:type="spellEnd"/>
        <w:r>
          <w:rPr>
            <w:rFonts w:ascii="Arial" w:eastAsia="Arial" w:hAnsi="Arial" w:cs="Arial"/>
            <w:color w:val="1155CC"/>
            <w:sz w:val="18"/>
            <w:szCs w:val="18"/>
            <w:u w:val="single"/>
          </w:rPr>
          <w:t>/full/10.1056/NEJM198301273080402</w:t>
        </w:r>
      </w:hyperlink>
      <w:r>
        <w:rPr>
          <w:rFonts w:ascii="Arial" w:eastAsia="Arial" w:hAnsi="Arial" w:cs="Arial"/>
          <w:b/>
          <w:bCs/>
          <w:color w:val="A63A3A"/>
          <w:sz w:val="15"/>
          <w:szCs w:val="15"/>
        </w:rPr>
        <w:t xml:space="preserve">  [PAYWALLED]  </w:t>
      </w:r>
    </w:p>
    <w:p w14:paraId="14650341" w14:textId="77777777" w:rsidR="00EE3F5B" w:rsidRDefault="00EE3F5B" w:rsidP="00EE3F5B">
      <w:pPr>
        <w:spacing w:before="180" w:after="40"/>
      </w:pPr>
      <w:r>
        <w:rPr>
          <w:rFonts w:ascii="Georgia" w:eastAsia="Georgia" w:hAnsi="Georgia" w:cs="Georgia"/>
          <w:b/>
          <w:bCs/>
          <w:color w:val="1A1A1A"/>
          <w:sz w:val="21"/>
          <w:szCs w:val="21"/>
        </w:rPr>
        <w:t xml:space="preserve">Barnes MP, Bates D, Cartlidge NEF, et al. Hyperbaric oxygen and multiple sclerosis: </w:t>
      </w:r>
      <w:proofErr w:type="gramStart"/>
      <w:r>
        <w:rPr>
          <w:rFonts w:ascii="Georgia" w:eastAsia="Georgia" w:hAnsi="Georgia" w:cs="Georgia"/>
          <w:b/>
          <w:bCs/>
          <w:color w:val="1A1A1A"/>
          <w:sz w:val="21"/>
          <w:szCs w:val="21"/>
        </w:rPr>
        <w:t>final results</w:t>
      </w:r>
      <w:proofErr w:type="gramEnd"/>
      <w:r>
        <w:rPr>
          <w:rFonts w:ascii="Georgia" w:eastAsia="Georgia" w:hAnsi="Georgia" w:cs="Georgia"/>
          <w:b/>
          <w:bCs/>
          <w:color w:val="1A1A1A"/>
          <w:sz w:val="21"/>
          <w:szCs w:val="21"/>
        </w:rPr>
        <w:t xml:space="preserve"> of a placebo-controlled, double-blind trial. J Neurol </w:t>
      </w:r>
      <w:proofErr w:type="spellStart"/>
      <w:r>
        <w:rPr>
          <w:rFonts w:ascii="Georgia" w:eastAsia="Georgia" w:hAnsi="Georgia" w:cs="Georgia"/>
          <w:b/>
          <w:bCs/>
          <w:color w:val="1A1A1A"/>
          <w:sz w:val="21"/>
          <w:szCs w:val="21"/>
        </w:rPr>
        <w:t>Neurosurg</w:t>
      </w:r>
      <w:proofErr w:type="spellEnd"/>
      <w:r>
        <w:rPr>
          <w:rFonts w:ascii="Georgia" w:eastAsia="Georgia" w:hAnsi="Georgia" w:cs="Georgia"/>
          <w:b/>
          <w:bCs/>
          <w:color w:val="1A1A1A"/>
          <w:sz w:val="21"/>
          <w:szCs w:val="21"/>
        </w:rPr>
        <w:t xml:space="preserve"> Psychiatry, 1987;50(11):1402–1406. — largest and most-cited negative trial.</w:t>
      </w:r>
    </w:p>
    <w:p w14:paraId="023A8EC3" w14:textId="77777777" w:rsidR="00EE3F5B" w:rsidRDefault="00EE3F5B" w:rsidP="00EE3F5B">
      <w:pPr>
        <w:spacing w:after="20"/>
      </w:pPr>
      <w:hyperlink r:id="rId21" w:history="1">
        <w:r>
          <w:rPr>
            <w:rFonts w:ascii="Arial" w:eastAsia="Arial" w:hAnsi="Arial" w:cs="Arial"/>
            <w:color w:val="1155CC"/>
            <w:sz w:val="18"/>
            <w:szCs w:val="18"/>
            <w:u w:val="single"/>
          </w:rPr>
          <w:t>pubmed.ncbi.nlm.nih.gov/3320265</w:t>
        </w:r>
      </w:hyperlink>
      <w:r>
        <w:rPr>
          <w:rFonts w:ascii="Arial" w:eastAsia="Arial" w:hAnsi="Arial" w:cs="Arial"/>
          <w:b/>
          <w:bCs/>
          <w:color w:val="A63A3A"/>
          <w:sz w:val="15"/>
          <w:szCs w:val="15"/>
        </w:rPr>
        <w:t xml:space="preserve">  [PAYWALLED]  </w:t>
      </w:r>
    </w:p>
    <w:p w14:paraId="1B838085" w14:textId="77777777" w:rsidR="00EE3F5B" w:rsidRDefault="00EE3F5B" w:rsidP="00EE3F5B">
      <w:pPr>
        <w:spacing w:before="180" w:after="40"/>
      </w:pPr>
      <w:r>
        <w:rPr>
          <w:rFonts w:ascii="Georgia" w:eastAsia="Georgia" w:hAnsi="Georgia" w:cs="Georgia"/>
          <w:b/>
          <w:bCs/>
          <w:color w:val="1A1A1A"/>
          <w:sz w:val="21"/>
          <w:szCs w:val="21"/>
        </w:rPr>
        <w:t xml:space="preserve">Wiles CM, Clarke CRA, Irwin HP, et al. Hyperbaric oxygen in multiple sclerosis: a </w:t>
      </w:r>
      <w:proofErr w:type="gramStart"/>
      <w:r>
        <w:rPr>
          <w:rFonts w:ascii="Georgia" w:eastAsia="Georgia" w:hAnsi="Georgia" w:cs="Georgia"/>
          <w:b/>
          <w:bCs/>
          <w:color w:val="1A1A1A"/>
          <w:sz w:val="21"/>
          <w:szCs w:val="21"/>
        </w:rPr>
        <w:t>double blind</w:t>
      </w:r>
      <w:proofErr w:type="gramEnd"/>
      <w:r>
        <w:rPr>
          <w:rFonts w:ascii="Georgia" w:eastAsia="Georgia" w:hAnsi="Georgia" w:cs="Georgia"/>
          <w:b/>
          <w:bCs/>
          <w:color w:val="1A1A1A"/>
          <w:sz w:val="21"/>
          <w:szCs w:val="21"/>
        </w:rPr>
        <w:t xml:space="preserve"> trial. BMJ, 1986;292(6517):367–371.</w:t>
      </w:r>
    </w:p>
    <w:p w14:paraId="1EE63235" w14:textId="77777777" w:rsidR="00EE3F5B" w:rsidRDefault="00EE3F5B" w:rsidP="00EE3F5B">
      <w:pPr>
        <w:spacing w:after="20"/>
      </w:pPr>
      <w:hyperlink r:id="rId22" w:history="1">
        <w:r>
          <w:rPr>
            <w:rFonts w:ascii="Arial" w:eastAsia="Arial" w:hAnsi="Arial" w:cs="Arial"/>
            <w:color w:val="1155CC"/>
            <w:sz w:val="18"/>
            <w:szCs w:val="18"/>
            <w:u w:val="single"/>
          </w:rPr>
          <w:t>pubmed.ncbi.nlm.nih.gov/3080167</w:t>
        </w:r>
      </w:hyperlink>
      <w:r>
        <w:rPr>
          <w:rFonts w:ascii="Arial" w:eastAsia="Arial" w:hAnsi="Arial" w:cs="Arial"/>
          <w:b/>
          <w:bCs/>
          <w:color w:val="A63A3A"/>
          <w:sz w:val="15"/>
          <w:szCs w:val="15"/>
        </w:rPr>
        <w:t xml:space="preserve">  [PAYWALLED]  </w:t>
      </w:r>
    </w:p>
    <w:p w14:paraId="0020D51A" w14:textId="77777777" w:rsidR="00EE3F5B" w:rsidRDefault="00EE3F5B" w:rsidP="00EE3F5B">
      <w:pPr>
        <w:spacing w:before="180" w:after="40"/>
      </w:pPr>
      <w:r>
        <w:rPr>
          <w:rFonts w:ascii="Georgia" w:eastAsia="Georgia" w:hAnsi="Georgia" w:cs="Georgia"/>
          <w:b/>
          <w:bCs/>
          <w:color w:val="1A1A1A"/>
          <w:sz w:val="21"/>
          <w:szCs w:val="21"/>
        </w:rPr>
        <w:t>Harpur GD, Suke R, Bass BH, et al. Hyperbaric oxygen therapy in chronic stable multiple sclerosis. Neurology, 1986;36(7):988–991.</w:t>
      </w:r>
    </w:p>
    <w:p w14:paraId="069C029E" w14:textId="77777777" w:rsidR="00EE3F5B" w:rsidRDefault="00EE3F5B" w:rsidP="00EE3F5B">
      <w:pPr>
        <w:spacing w:after="40"/>
      </w:pPr>
      <w:r>
        <w:rPr>
          <w:rFonts w:ascii="Georgia" w:eastAsia="Georgia" w:hAnsi="Georgia" w:cs="Georgia"/>
          <w:color w:val="333333"/>
        </w:rPr>
        <w:t xml:space="preserve">82 patients randomized to 20 daily treatments of 100% O2 + 7 boosters vs 12.5% O2 at 1.75 ATA. No significant difference in EDSS, </w:t>
      </w:r>
      <w:proofErr w:type="spellStart"/>
      <w:r>
        <w:rPr>
          <w:rFonts w:ascii="Georgia" w:eastAsia="Georgia" w:hAnsi="Georgia" w:cs="Georgia"/>
          <w:color w:val="333333"/>
        </w:rPr>
        <w:t>Kurtzke</w:t>
      </w:r>
      <w:proofErr w:type="spellEnd"/>
      <w:r>
        <w:rPr>
          <w:rFonts w:ascii="Georgia" w:eastAsia="Georgia" w:hAnsi="Georgia" w:cs="Georgia"/>
          <w:color w:val="333333"/>
        </w:rPr>
        <w:t xml:space="preserve"> Functional scores, MRI, or evoked potentials.</w:t>
      </w:r>
    </w:p>
    <w:p w14:paraId="2A1D1568" w14:textId="77777777" w:rsidR="00EE3F5B" w:rsidRDefault="00EE3F5B" w:rsidP="00EE3F5B">
      <w:pPr>
        <w:spacing w:after="20"/>
      </w:pPr>
      <w:hyperlink r:id="rId23" w:history="1">
        <w:r>
          <w:rPr>
            <w:rFonts w:ascii="Arial" w:eastAsia="Arial" w:hAnsi="Arial" w:cs="Arial"/>
            <w:color w:val="1155CC"/>
            <w:sz w:val="18"/>
            <w:szCs w:val="18"/>
            <w:u w:val="single"/>
          </w:rPr>
          <w:t>neurology.org/</w:t>
        </w:r>
        <w:proofErr w:type="spellStart"/>
        <w:r>
          <w:rPr>
            <w:rFonts w:ascii="Arial" w:eastAsia="Arial" w:hAnsi="Arial" w:cs="Arial"/>
            <w:color w:val="1155CC"/>
            <w:sz w:val="18"/>
            <w:szCs w:val="18"/>
            <w:u w:val="single"/>
          </w:rPr>
          <w:t>doi</w:t>
        </w:r>
        <w:proofErr w:type="spellEnd"/>
        <w:r>
          <w:rPr>
            <w:rFonts w:ascii="Arial" w:eastAsia="Arial" w:hAnsi="Arial" w:cs="Arial"/>
            <w:color w:val="1155CC"/>
            <w:sz w:val="18"/>
            <w:szCs w:val="18"/>
            <w:u w:val="single"/>
          </w:rPr>
          <w:t>/10.1212/WNL.36.7.988</w:t>
        </w:r>
      </w:hyperlink>
      <w:r>
        <w:rPr>
          <w:rFonts w:ascii="Arial" w:eastAsia="Arial" w:hAnsi="Arial" w:cs="Arial"/>
          <w:b/>
          <w:bCs/>
          <w:color w:val="A63A3A"/>
          <w:sz w:val="15"/>
          <w:szCs w:val="15"/>
        </w:rPr>
        <w:t xml:space="preserve">  [PAYWALLED]  </w:t>
      </w:r>
    </w:p>
    <w:p w14:paraId="38CB0CDC" w14:textId="77777777" w:rsidR="00EE3F5B" w:rsidRDefault="00EE3F5B" w:rsidP="00EE3F5B">
      <w:pPr>
        <w:spacing w:before="180" w:after="40"/>
      </w:pPr>
      <w:r>
        <w:rPr>
          <w:rFonts w:ascii="Georgia" w:eastAsia="Georgia" w:hAnsi="Georgia" w:cs="Georgia"/>
          <w:b/>
          <w:bCs/>
          <w:color w:val="1A1A1A"/>
          <w:sz w:val="21"/>
          <w:szCs w:val="21"/>
        </w:rPr>
        <w:t xml:space="preserve">Neiman J, Nilsson BY, Barr PO, Perrins DJD. Hyperbaric oxygen in chronic progressive multiple sclerosis: visual evoked </w:t>
      </w:r>
      <w:proofErr w:type="gramStart"/>
      <w:r>
        <w:rPr>
          <w:rFonts w:ascii="Georgia" w:eastAsia="Georgia" w:hAnsi="Georgia" w:cs="Georgia"/>
          <w:b/>
          <w:bCs/>
          <w:color w:val="1A1A1A"/>
          <w:sz w:val="21"/>
          <w:szCs w:val="21"/>
        </w:rPr>
        <w:t>potentials</w:t>
      </w:r>
      <w:proofErr w:type="gramEnd"/>
      <w:r>
        <w:rPr>
          <w:rFonts w:ascii="Georgia" w:eastAsia="Georgia" w:hAnsi="Georgia" w:cs="Georgia"/>
          <w:b/>
          <w:bCs/>
          <w:color w:val="1A1A1A"/>
          <w:sz w:val="21"/>
          <w:szCs w:val="21"/>
        </w:rPr>
        <w:t xml:space="preserve"> and clinical effects. J Neurol </w:t>
      </w:r>
      <w:proofErr w:type="spellStart"/>
      <w:r>
        <w:rPr>
          <w:rFonts w:ascii="Georgia" w:eastAsia="Georgia" w:hAnsi="Georgia" w:cs="Georgia"/>
          <w:b/>
          <w:bCs/>
          <w:color w:val="1A1A1A"/>
          <w:sz w:val="21"/>
          <w:szCs w:val="21"/>
        </w:rPr>
        <w:t>Neurosurg</w:t>
      </w:r>
      <w:proofErr w:type="spellEnd"/>
      <w:r>
        <w:rPr>
          <w:rFonts w:ascii="Georgia" w:eastAsia="Georgia" w:hAnsi="Georgia" w:cs="Georgia"/>
          <w:b/>
          <w:bCs/>
          <w:color w:val="1A1A1A"/>
          <w:sz w:val="21"/>
          <w:szCs w:val="21"/>
        </w:rPr>
        <w:t xml:space="preserve"> Psychiatry, 1985;48(6):497–500.</w:t>
      </w:r>
    </w:p>
    <w:p w14:paraId="60B931EB" w14:textId="77777777" w:rsidR="00EE3F5B" w:rsidRDefault="00EE3F5B" w:rsidP="00EE3F5B">
      <w:pPr>
        <w:spacing w:after="20"/>
      </w:pPr>
      <w:hyperlink r:id="rId24" w:history="1">
        <w:r>
          <w:rPr>
            <w:rFonts w:ascii="Arial" w:eastAsia="Arial" w:hAnsi="Arial" w:cs="Arial"/>
            <w:color w:val="1155CC"/>
            <w:sz w:val="18"/>
            <w:szCs w:val="18"/>
            <w:u w:val="single"/>
          </w:rPr>
          <w:t>pubmed.ncbi.nlm.nih.gov/4009184</w:t>
        </w:r>
      </w:hyperlink>
      <w:r>
        <w:rPr>
          <w:rFonts w:ascii="Arial" w:eastAsia="Arial" w:hAnsi="Arial" w:cs="Arial"/>
          <w:b/>
          <w:bCs/>
          <w:color w:val="A63A3A"/>
          <w:sz w:val="15"/>
          <w:szCs w:val="15"/>
        </w:rPr>
        <w:t xml:space="preserve">  [PAYWALLED]  </w:t>
      </w:r>
    </w:p>
    <w:p w14:paraId="3BBCEC5F" w14:textId="77777777" w:rsidR="00EE3F5B" w:rsidRDefault="00EE3F5B" w:rsidP="00EE3F5B">
      <w:pPr>
        <w:spacing w:before="180" w:after="40"/>
      </w:pPr>
      <w:r>
        <w:rPr>
          <w:rFonts w:ascii="Georgia" w:eastAsia="Georgia" w:hAnsi="Georgia" w:cs="Georgia"/>
          <w:b/>
          <w:bCs/>
          <w:color w:val="1A1A1A"/>
          <w:sz w:val="21"/>
          <w:szCs w:val="21"/>
        </w:rPr>
        <w:t>Wood J, Stell R, Unsworth I, Lance JW, Skuse N. A double-blind trial of hyperbaric oxygen in the treatment of multiple sclerosis. Med J Aust, 1985;143(6):238–241.</w:t>
      </w:r>
    </w:p>
    <w:p w14:paraId="59C4D6D8" w14:textId="77777777" w:rsidR="00EE3F5B" w:rsidRDefault="00EE3F5B" w:rsidP="00EE3F5B">
      <w:pPr>
        <w:spacing w:after="20"/>
      </w:pPr>
      <w:hyperlink r:id="rId25" w:history="1">
        <w:r>
          <w:rPr>
            <w:rFonts w:ascii="Arial" w:eastAsia="Arial" w:hAnsi="Arial" w:cs="Arial"/>
            <w:color w:val="1155CC"/>
            <w:sz w:val="18"/>
            <w:szCs w:val="18"/>
            <w:u w:val="single"/>
          </w:rPr>
          <w:t>pubmed.ncbi.nlm.nih.gov/3897832</w:t>
        </w:r>
      </w:hyperlink>
      <w:r>
        <w:rPr>
          <w:rFonts w:ascii="Arial" w:eastAsia="Arial" w:hAnsi="Arial" w:cs="Arial"/>
          <w:b/>
          <w:bCs/>
          <w:color w:val="A63A3A"/>
          <w:sz w:val="15"/>
          <w:szCs w:val="15"/>
        </w:rPr>
        <w:t xml:space="preserve">  [PAYWALLED]  </w:t>
      </w:r>
    </w:p>
    <w:p w14:paraId="6F73109B" w14:textId="77777777" w:rsidR="00EE3F5B" w:rsidRDefault="00EE3F5B" w:rsidP="00EE3F5B">
      <w:pPr>
        <w:spacing w:before="180" w:after="40"/>
      </w:pPr>
      <w:r>
        <w:rPr>
          <w:rFonts w:ascii="Georgia" w:eastAsia="Georgia" w:hAnsi="Georgia" w:cs="Georgia"/>
          <w:b/>
          <w:bCs/>
          <w:color w:val="1A1A1A"/>
          <w:sz w:val="21"/>
          <w:szCs w:val="21"/>
        </w:rPr>
        <w:t xml:space="preserve">Erwin CW, Massey EW, Brendle AC, Shelton DL, Bennett PB. Hyperbaric oxygen influences on the visual evoked </w:t>
      </w:r>
      <w:proofErr w:type="gramStart"/>
      <w:r>
        <w:rPr>
          <w:rFonts w:ascii="Georgia" w:eastAsia="Georgia" w:hAnsi="Georgia" w:cs="Georgia"/>
          <w:b/>
          <w:bCs/>
          <w:color w:val="1A1A1A"/>
          <w:sz w:val="21"/>
          <w:szCs w:val="21"/>
        </w:rPr>
        <w:t>potentials</w:t>
      </w:r>
      <w:proofErr w:type="gramEnd"/>
      <w:r>
        <w:rPr>
          <w:rFonts w:ascii="Georgia" w:eastAsia="Georgia" w:hAnsi="Georgia" w:cs="Georgia"/>
          <w:b/>
          <w:bCs/>
          <w:color w:val="1A1A1A"/>
          <w:sz w:val="21"/>
          <w:szCs w:val="21"/>
        </w:rPr>
        <w:t xml:space="preserve"> in multiple sclerosis patients. Neurology, 1985;35:315.</w:t>
      </w:r>
    </w:p>
    <w:p w14:paraId="2C50F8FB" w14:textId="77777777" w:rsidR="00EE3F5B" w:rsidRDefault="00EE3F5B" w:rsidP="00EE3F5B">
      <w:pPr>
        <w:spacing w:after="20"/>
      </w:pPr>
      <w:hyperlink r:id="rId26" w:history="1">
        <w:r>
          <w:rPr>
            <w:rFonts w:ascii="Arial" w:eastAsia="Arial" w:hAnsi="Arial" w:cs="Arial"/>
            <w:color w:val="1155CC"/>
            <w:sz w:val="18"/>
            <w:szCs w:val="18"/>
            <w:u w:val="single"/>
          </w:rPr>
          <w:t>search: PubMed, author + title (no stable direct link located)</w:t>
        </w:r>
      </w:hyperlink>
      <w:r>
        <w:rPr>
          <w:rFonts w:ascii="Arial" w:eastAsia="Arial" w:hAnsi="Arial" w:cs="Arial"/>
          <w:b/>
          <w:bCs/>
          <w:color w:val="A63A3A"/>
          <w:sz w:val="15"/>
          <w:szCs w:val="15"/>
        </w:rPr>
        <w:t xml:space="preserve">  [PAYWALLED]  </w:t>
      </w:r>
    </w:p>
    <w:p w14:paraId="396C7399" w14:textId="77777777" w:rsidR="00EE3F5B" w:rsidRDefault="00EE3F5B" w:rsidP="00EE3F5B">
      <w:pPr>
        <w:spacing w:before="180" w:after="40"/>
      </w:pPr>
      <w:proofErr w:type="spellStart"/>
      <w:r>
        <w:rPr>
          <w:rFonts w:ascii="Georgia" w:eastAsia="Georgia" w:hAnsi="Georgia" w:cs="Georgia"/>
          <w:b/>
          <w:bCs/>
          <w:color w:val="1A1A1A"/>
          <w:sz w:val="21"/>
          <w:szCs w:val="21"/>
        </w:rPr>
        <w:t>Confavreux</w:t>
      </w:r>
      <w:proofErr w:type="spellEnd"/>
      <w:r>
        <w:rPr>
          <w:rFonts w:ascii="Georgia" w:eastAsia="Georgia" w:hAnsi="Georgia" w:cs="Georgia"/>
          <w:b/>
          <w:bCs/>
          <w:color w:val="1A1A1A"/>
          <w:sz w:val="21"/>
          <w:szCs w:val="21"/>
        </w:rPr>
        <w:t xml:space="preserve"> C, Mathieu C, Chacornac R, et al. [Ineffectiveness of hyperbaric oxygen therapy in multiple sclerosis]. Revue </w:t>
      </w:r>
      <w:proofErr w:type="spellStart"/>
      <w:r>
        <w:rPr>
          <w:rFonts w:ascii="Georgia" w:eastAsia="Georgia" w:hAnsi="Georgia" w:cs="Georgia"/>
          <w:b/>
          <w:bCs/>
          <w:color w:val="1A1A1A"/>
          <w:sz w:val="21"/>
          <w:szCs w:val="21"/>
        </w:rPr>
        <w:t>Neurologique</w:t>
      </w:r>
      <w:proofErr w:type="spellEnd"/>
      <w:r>
        <w:rPr>
          <w:rFonts w:ascii="Georgia" w:eastAsia="Georgia" w:hAnsi="Georgia" w:cs="Georgia"/>
          <w:b/>
          <w:bCs/>
          <w:color w:val="1A1A1A"/>
          <w:sz w:val="21"/>
          <w:szCs w:val="21"/>
        </w:rPr>
        <w:t xml:space="preserve"> (Paris), 1986;142(6-7):614–622.</w:t>
      </w:r>
    </w:p>
    <w:p w14:paraId="109B9A30" w14:textId="77777777" w:rsidR="00EE3F5B" w:rsidRDefault="00EE3F5B" w:rsidP="00EE3F5B">
      <w:pPr>
        <w:spacing w:after="20"/>
      </w:pPr>
      <w:hyperlink r:id="rId27" w:history="1">
        <w:r>
          <w:rPr>
            <w:rFonts w:ascii="Arial" w:eastAsia="Arial" w:hAnsi="Arial" w:cs="Arial"/>
            <w:color w:val="1155CC"/>
            <w:sz w:val="18"/>
            <w:szCs w:val="18"/>
            <w:u w:val="single"/>
          </w:rPr>
          <w:t>pubmed.ncbi.nlm.nih.gov/3538228</w:t>
        </w:r>
      </w:hyperlink>
      <w:r>
        <w:rPr>
          <w:rFonts w:ascii="Arial" w:eastAsia="Arial" w:hAnsi="Arial" w:cs="Arial"/>
          <w:b/>
          <w:bCs/>
          <w:color w:val="A63A3A"/>
          <w:sz w:val="15"/>
          <w:szCs w:val="15"/>
        </w:rPr>
        <w:t xml:space="preserve">  [PAYWALLED]  </w:t>
      </w:r>
    </w:p>
    <w:p w14:paraId="3C76E29A" w14:textId="77777777" w:rsidR="00EE3F5B" w:rsidRDefault="00EE3F5B" w:rsidP="00EE3F5B">
      <w:pPr>
        <w:spacing w:before="180" w:after="40"/>
      </w:pPr>
      <w:r>
        <w:rPr>
          <w:rFonts w:ascii="Georgia" w:eastAsia="Georgia" w:hAnsi="Georgia" w:cs="Georgia"/>
          <w:b/>
          <w:bCs/>
          <w:color w:val="1A1A1A"/>
          <w:sz w:val="21"/>
          <w:szCs w:val="21"/>
        </w:rPr>
        <w:t xml:space="preserve">Oriani G, Barbieri S, </w:t>
      </w:r>
      <w:proofErr w:type="spellStart"/>
      <w:r>
        <w:rPr>
          <w:rFonts w:ascii="Georgia" w:eastAsia="Georgia" w:hAnsi="Georgia" w:cs="Georgia"/>
          <w:b/>
          <w:bCs/>
          <w:color w:val="1A1A1A"/>
          <w:sz w:val="21"/>
          <w:szCs w:val="21"/>
        </w:rPr>
        <w:t>Cislaghi</w:t>
      </w:r>
      <w:proofErr w:type="spellEnd"/>
      <w:r>
        <w:rPr>
          <w:rFonts w:ascii="Georgia" w:eastAsia="Georgia" w:hAnsi="Georgia" w:cs="Georgia"/>
          <w:b/>
          <w:bCs/>
          <w:color w:val="1A1A1A"/>
          <w:sz w:val="21"/>
          <w:szCs w:val="21"/>
        </w:rPr>
        <w:t xml:space="preserve"> G, et al. Long-term hyperbaric oxygen in multiple sclerosis: a placebo-controlled, double-blind trial with evoked potentials studies. J Hyperbaric Med, 1990;5:237–245.</w:t>
      </w:r>
    </w:p>
    <w:p w14:paraId="37E00C81" w14:textId="77777777" w:rsidR="00EE3F5B" w:rsidRDefault="00EE3F5B" w:rsidP="00EE3F5B">
      <w:pPr>
        <w:spacing w:after="20"/>
      </w:pPr>
      <w:hyperlink r:id="rId28" w:history="1">
        <w:r>
          <w:rPr>
            <w:rFonts w:ascii="Arial" w:eastAsia="Arial" w:hAnsi="Arial" w:cs="Arial"/>
            <w:color w:val="1155CC"/>
            <w:sz w:val="18"/>
            <w:szCs w:val="18"/>
            <w:u w:val="single"/>
          </w:rPr>
          <w:t>search: PubMed, author + title (no stable direct link located)</w:t>
        </w:r>
      </w:hyperlink>
      <w:r>
        <w:rPr>
          <w:rFonts w:ascii="Arial" w:eastAsia="Arial" w:hAnsi="Arial" w:cs="Arial"/>
          <w:b/>
          <w:bCs/>
          <w:color w:val="A63A3A"/>
          <w:sz w:val="15"/>
          <w:szCs w:val="15"/>
        </w:rPr>
        <w:t xml:space="preserve">  [PAYWALLED]  </w:t>
      </w:r>
    </w:p>
    <w:p w14:paraId="5ACC26A4" w14:textId="29DFA678" w:rsidR="00EE3F5B" w:rsidRDefault="00EE3F5B" w:rsidP="00EE3F5B">
      <w:pPr>
        <w:spacing w:before="100" w:after="40"/>
      </w:pPr>
      <w:r>
        <w:rPr>
          <w:rFonts w:ascii="Georgia" w:eastAsia="Georgia" w:hAnsi="Georgia" w:cs="Georgia"/>
          <w:i/>
          <w:iCs/>
          <w:color w:val="666666"/>
          <w:sz w:val="19"/>
          <w:szCs w:val="19"/>
        </w:rPr>
        <w:t xml:space="preserve">Additional 1983–87 trials (Slater, </w:t>
      </w:r>
      <w:proofErr w:type="spellStart"/>
      <w:r>
        <w:rPr>
          <w:rFonts w:ascii="Georgia" w:eastAsia="Georgia" w:hAnsi="Georgia" w:cs="Georgia"/>
          <w:i/>
          <w:iCs/>
          <w:color w:val="666666"/>
          <w:sz w:val="19"/>
          <w:szCs w:val="19"/>
        </w:rPr>
        <w:t>Satzman</w:t>
      </w:r>
      <w:proofErr w:type="spellEnd"/>
      <w:r>
        <w:rPr>
          <w:rFonts w:ascii="Georgia" w:eastAsia="Georgia" w:hAnsi="Georgia" w:cs="Georgia"/>
          <w:i/>
          <w:iCs/>
          <w:color w:val="666666"/>
          <w:sz w:val="19"/>
          <w:szCs w:val="19"/>
        </w:rPr>
        <w:t xml:space="preserve">/Neubauer, van </w:t>
      </w:r>
      <w:proofErr w:type="spellStart"/>
      <w:r>
        <w:rPr>
          <w:rFonts w:ascii="Georgia" w:eastAsia="Georgia" w:hAnsi="Georgia" w:cs="Georgia"/>
          <w:i/>
          <w:iCs/>
          <w:color w:val="666666"/>
          <w:sz w:val="19"/>
          <w:szCs w:val="19"/>
        </w:rPr>
        <w:t>Crevel</w:t>
      </w:r>
      <w:proofErr w:type="spellEnd"/>
      <w:r>
        <w:rPr>
          <w:rFonts w:ascii="Georgia" w:eastAsia="Georgia" w:hAnsi="Georgia" w:cs="Georgia"/>
          <w:i/>
          <w:iCs/>
          <w:color w:val="666666"/>
          <w:sz w:val="19"/>
          <w:szCs w:val="19"/>
        </w:rPr>
        <w:t xml:space="preserve"> et al.) are catalogued with full citations in the Bennett &amp; Heard 2010 PDF listed above.</w:t>
      </w:r>
    </w:p>
    <w:p w14:paraId="552C4BA7" w14:textId="235FB641" w:rsidR="002604D9" w:rsidRDefault="00EE3F5B">
      <w:pPr>
        <w:pStyle w:val="Heading1"/>
        <w:pBdr>
          <w:bottom w:val="single" w:sz="6" w:space="4" w:color="1B3A5C"/>
        </w:pBdr>
        <w:spacing w:before="400" w:after="160"/>
      </w:pPr>
      <w:r>
        <w:rPr>
          <w:rFonts w:ascii="Arial" w:eastAsia="Arial" w:hAnsi="Arial" w:cs="Arial"/>
          <w:b/>
          <w:bCs/>
          <w:color w:val="1B3A5C"/>
          <w:sz w:val="26"/>
          <w:szCs w:val="26"/>
        </w:rPr>
        <w:t>5</w:t>
      </w:r>
      <w:r w:rsidR="00000000">
        <w:rPr>
          <w:rFonts w:ascii="Arial" w:eastAsia="Arial" w:hAnsi="Arial" w:cs="Arial"/>
          <w:b/>
          <w:bCs/>
          <w:color w:val="1B3A5C"/>
          <w:sz w:val="26"/>
          <w:szCs w:val="26"/>
        </w:rPr>
        <w:t>. Trial-Design Methodology</w:t>
      </w:r>
    </w:p>
    <w:p w14:paraId="1F5F1E16" w14:textId="77777777" w:rsidR="002604D9" w:rsidRDefault="00000000">
      <w:pPr>
        <w:spacing w:before="180" w:after="40"/>
      </w:pPr>
      <w:proofErr w:type="spellStart"/>
      <w:r>
        <w:rPr>
          <w:rFonts w:ascii="Georgia" w:eastAsia="Georgia" w:hAnsi="Georgia" w:cs="Georgia"/>
          <w:b/>
          <w:bCs/>
          <w:color w:val="1A1A1A"/>
          <w:sz w:val="21"/>
          <w:szCs w:val="21"/>
        </w:rPr>
        <w:t>Lansdorp</w:t>
      </w:r>
      <w:proofErr w:type="spellEnd"/>
      <w:r>
        <w:rPr>
          <w:rFonts w:ascii="Georgia" w:eastAsia="Georgia" w:hAnsi="Georgia" w:cs="Georgia"/>
          <w:b/>
          <w:bCs/>
          <w:color w:val="1A1A1A"/>
          <w:sz w:val="21"/>
          <w:szCs w:val="21"/>
        </w:rPr>
        <w:t xml:space="preserve"> NCA, van Hulst RA. Double-blind trials in hyperbaric medicine: a narrative review on past experiences and considerations in designing sham hyperbaric treatment. Clinical Trials, 2018;15(5):462–476.</w:t>
      </w:r>
    </w:p>
    <w:p w14:paraId="1F11F25C" w14:textId="77777777" w:rsidR="002604D9" w:rsidRDefault="00000000">
      <w:pPr>
        <w:spacing w:after="40"/>
      </w:pPr>
      <w:r>
        <w:rPr>
          <w:rFonts w:ascii="Georgia" w:eastAsia="Georgia" w:hAnsi="Georgia" w:cs="Georgia"/>
          <w:color w:val="333333"/>
        </w:rPr>
        <w:t>Directly relevant to sham-control design work — addresses how blinding failures and pressure-based sham exposure have complicated interpretation of HBOT trials generally.</w:t>
      </w:r>
    </w:p>
    <w:p w14:paraId="0E8B6806" w14:textId="77777777" w:rsidR="002604D9" w:rsidRDefault="00000000">
      <w:pPr>
        <w:spacing w:after="20"/>
      </w:pPr>
      <w:hyperlink r:id="rId29" w:history="1">
        <w:r>
          <w:rPr>
            <w:rFonts w:ascii="Arial" w:eastAsia="Arial" w:hAnsi="Arial" w:cs="Arial"/>
            <w:color w:val="1155CC"/>
            <w:sz w:val="18"/>
            <w:szCs w:val="18"/>
            <w:u w:val="single"/>
          </w:rPr>
          <w:t>doi.org/10.1177/1740774518776952</w:t>
        </w:r>
      </w:hyperlink>
      <w:r>
        <w:rPr>
          <w:rFonts w:ascii="Arial" w:eastAsia="Arial" w:hAnsi="Arial" w:cs="Arial"/>
          <w:b/>
          <w:bCs/>
          <w:color w:val="A63A3A"/>
          <w:sz w:val="15"/>
          <w:szCs w:val="15"/>
        </w:rPr>
        <w:t xml:space="preserve">  [PAYWALLED]  </w:t>
      </w:r>
    </w:p>
    <w:p w14:paraId="1522754A" w14:textId="374C212D" w:rsidR="002604D9" w:rsidRDefault="00EE3F5B">
      <w:pPr>
        <w:pStyle w:val="Heading1"/>
        <w:pBdr>
          <w:bottom w:val="single" w:sz="6" w:space="4" w:color="1B3A5C"/>
        </w:pBdr>
        <w:spacing w:before="400" w:after="160"/>
      </w:pPr>
      <w:r>
        <w:rPr>
          <w:rFonts w:ascii="Arial" w:eastAsia="Arial" w:hAnsi="Arial" w:cs="Arial"/>
          <w:b/>
          <w:bCs/>
          <w:color w:val="1B3A5C"/>
          <w:sz w:val="26"/>
          <w:szCs w:val="26"/>
        </w:rPr>
        <w:t>6</w:t>
      </w:r>
      <w:r w:rsidR="00000000">
        <w:rPr>
          <w:rFonts w:ascii="Arial" w:eastAsia="Arial" w:hAnsi="Arial" w:cs="Arial"/>
          <w:b/>
          <w:bCs/>
          <w:color w:val="1B3A5C"/>
          <w:sz w:val="26"/>
          <w:szCs w:val="26"/>
        </w:rPr>
        <w:t>. Where to Search for Anything Missed</w:t>
      </w:r>
    </w:p>
    <w:p w14:paraId="65FA59D1" w14:textId="77777777" w:rsidR="002604D9" w:rsidRDefault="00000000">
      <w:pPr>
        <w:spacing w:after="60"/>
      </w:pPr>
      <w:r>
        <w:rPr>
          <w:rFonts w:ascii="Arial" w:eastAsia="Arial" w:hAnsi="Arial" w:cs="Arial"/>
          <w:b/>
          <w:bCs/>
          <w:color w:val="1B3A5C"/>
        </w:rPr>
        <w:t>PubMed</w:t>
      </w:r>
      <w:proofErr w:type="gramStart"/>
      <w:r>
        <w:rPr>
          <w:rFonts w:ascii="Arial" w:eastAsia="Arial" w:hAnsi="Arial" w:cs="Arial"/>
          <w:b/>
          <w:bCs/>
          <w:color w:val="1B3A5C"/>
        </w:rPr>
        <w:t xml:space="preserve">:  </w:t>
      </w:r>
      <w:r>
        <w:rPr>
          <w:rFonts w:ascii="Georgia" w:eastAsia="Georgia" w:hAnsi="Georgia" w:cs="Georgia"/>
          <w:color w:val="333333"/>
        </w:rPr>
        <w:t>(</w:t>
      </w:r>
      <w:proofErr w:type="gramEnd"/>
      <w:r>
        <w:rPr>
          <w:rFonts w:ascii="Georgia" w:eastAsia="Georgia" w:hAnsi="Georgia" w:cs="Georgia"/>
          <w:color w:val="333333"/>
        </w:rPr>
        <w:t>"hyperbaric oxygenation"[</w:t>
      </w:r>
      <w:proofErr w:type="spellStart"/>
      <w:r>
        <w:rPr>
          <w:rFonts w:ascii="Georgia" w:eastAsia="Georgia" w:hAnsi="Georgia" w:cs="Georgia"/>
          <w:color w:val="333333"/>
        </w:rPr>
        <w:t>MeSH</w:t>
      </w:r>
      <w:proofErr w:type="spellEnd"/>
      <w:r>
        <w:rPr>
          <w:rFonts w:ascii="Georgia" w:eastAsia="Georgia" w:hAnsi="Georgia" w:cs="Georgia"/>
          <w:color w:val="333333"/>
        </w:rPr>
        <w:t>] OR HBOT) AND "multiple sclerosis"[</w:t>
      </w:r>
      <w:proofErr w:type="spellStart"/>
      <w:r>
        <w:rPr>
          <w:rFonts w:ascii="Georgia" w:eastAsia="Georgia" w:hAnsi="Georgia" w:cs="Georgia"/>
          <w:color w:val="333333"/>
        </w:rPr>
        <w:t>MeSH</w:t>
      </w:r>
      <w:proofErr w:type="spellEnd"/>
      <w:r>
        <w:rPr>
          <w:rFonts w:ascii="Georgia" w:eastAsia="Georgia" w:hAnsi="Georgia" w:cs="Georgia"/>
          <w:color w:val="333333"/>
        </w:rPr>
        <w:t>]</w:t>
      </w:r>
    </w:p>
    <w:p w14:paraId="5054A122" w14:textId="77777777" w:rsidR="002604D9" w:rsidRDefault="00000000">
      <w:pPr>
        <w:spacing w:after="100"/>
      </w:pPr>
      <w:hyperlink r:id="rId30" w:history="1">
        <w:r>
          <w:rPr>
            <w:rFonts w:ascii="Arial" w:eastAsia="Arial" w:hAnsi="Arial" w:cs="Arial"/>
            <w:color w:val="1155CC"/>
            <w:sz w:val="18"/>
            <w:szCs w:val="18"/>
            <w:u w:val="single"/>
          </w:rPr>
          <w:t>https://pubmed.ncbi.nlm.nih.gov/</w:t>
        </w:r>
      </w:hyperlink>
    </w:p>
    <w:p w14:paraId="59B67901" w14:textId="77777777" w:rsidR="002604D9" w:rsidRDefault="00000000">
      <w:pPr>
        <w:spacing w:after="60"/>
      </w:pPr>
      <w:r>
        <w:rPr>
          <w:rFonts w:ascii="Arial" w:eastAsia="Arial" w:hAnsi="Arial" w:cs="Arial"/>
          <w:b/>
          <w:bCs/>
          <w:color w:val="1B3A5C"/>
        </w:rPr>
        <w:t>Cochrane Library</w:t>
      </w:r>
      <w:proofErr w:type="gramStart"/>
      <w:r>
        <w:rPr>
          <w:rFonts w:ascii="Arial" w:eastAsia="Arial" w:hAnsi="Arial" w:cs="Arial"/>
          <w:b/>
          <w:bCs/>
          <w:color w:val="1B3A5C"/>
        </w:rPr>
        <w:t xml:space="preserve">:  </w:t>
      </w:r>
      <w:r>
        <w:rPr>
          <w:rFonts w:ascii="Georgia" w:eastAsia="Georgia" w:hAnsi="Georgia" w:cs="Georgia"/>
          <w:color w:val="333333"/>
        </w:rPr>
        <w:t>cochranelibrary.com</w:t>
      </w:r>
      <w:proofErr w:type="gramEnd"/>
      <w:r>
        <w:rPr>
          <w:rFonts w:ascii="Georgia" w:eastAsia="Georgia" w:hAnsi="Georgia" w:cs="Georgia"/>
          <w:color w:val="333333"/>
        </w:rPr>
        <w:t xml:space="preserve"> search</w:t>
      </w:r>
    </w:p>
    <w:p w14:paraId="484D0B88" w14:textId="77777777" w:rsidR="002604D9" w:rsidRDefault="00000000">
      <w:pPr>
        <w:spacing w:after="100"/>
      </w:pPr>
      <w:hyperlink r:id="rId31" w:history="1">
        <w:r>
          <w:rPr>
            <w:rFonts w:ascii="Arial" w:eastAsia="Arial" w:hAnsi="Arial" w:cs="Arial"/>
            <w:color w:val="1155CC"/>
            <w:sz w:val="18"/>
            <w:szCs w:val="18"/>
            <w:u w:val="single"/>
          </w:rPr>
          <w:t>https://www.cochranelibrary.com/</w:t>
        </w:r>
      </w:hyperlink>
    </w:p>
    <w:p w14:paraId="4EC03706" w14:textId="77777777" w:rsidR="002604D9" w:rsidRDefault="00000000">
      <w:pPr>
        <w:spacing w:after="60"/>
      </w:pPr>
      <w:r>
        <w:rPr>
          <w:rFonts w:ascii="Arial" w:eastAsia="Arial" w:hAnsi="Arial" w:cs="Arial"/>
          <w:b/>
          <w:bCs/>
          <w:color w:val="1B3A5C"/>
        </w:rPr>
        <w:t>ClinicalTrials.gov</w:t>
      </w:r>
      <w:proofErr w:type="gramStart"/>
      <w:r>
        <w:rPr>
          <w:rFonts w:ascii="Arial" w:eastAsia="Arial" w:hAnsi="Arial" w:cs="Arial"/>
          <w:b/>
          <w:bCs/>
          <w:color w:val="1B3A5C"/>
        </w:rPr>
        <w:t xml:space="preserve">:  </w:t>
      </w:r>
      <w:r>
        <w:rPr>
          <w:rFonts w:ascii="Georgia" w:eastAsia="Georgia" w:hAnsi="Georgia" w:cs="Georgia"/>
          <w:color w:val="333333"/>
        </w:rPr>
        <w:t>search</w:t>
      </w:r>
      <w:proofErr w:type="gramEnd"/>
      <w:r>
        <w:rPr>
          <w:rFonts w:ascii="Georgia" w:eastAsia="Georgia" w:hAnsi="Georgia" w:cs="Georgia"/>
          <w:color w:val="333333"/>
        </w:rPr>
        <w:t xml:space="preserve"> "hyperbaric" + "multiple sclerosis" for active/registered trials</w:t>
      </w:r>
    </w:p>
    <w:p w14:paraId="3F0BBA1F" w14:textId="77777777" w:rsidR="002604D9" w:rsidRDefault="00000000">
      <w:pPr>
        <w:spacing w:after="100"/>
      </w:pPr>
      <w:hyperlink r:id="rId32" w:history="1">
        <w:r>
          <w:rPr>
            <w:rFonts w:ascii="Arial" w:eastAsia="Arial" w:hAnsi="Arial" w:cs="Arial"/>
            <w:color w:val="1155CC"/>
            <w:sz w:val="18"/>
            <w:szCs w:val="18"/>
            <w:u w:val="single"/>
          </w:rPr>
          <w:t>https://clinicaltrials.gov/</w:t>
        </w:r>
      </w:hyperlink>
    </w:p>
    <w:p w14:paraId="3FF0020A" w14:textId="77777777" w:rsidR="002604D9" w:rsidRDefault="00000000">
      <w:pPr>
        <w:spacing w:after="60"/>
      </w:pPr>
      <w:r>
        <w:rPr>
          <w:rFonts w:ascii="Arial" w:eastAsia="Arial" w:hAnsi="Arial" w:cs="Arial"/>
          <w:b/>
          <w:bCs/>
          <w:color w:val="1B3A5C"/>
        </w:rPr>
        <w:t>Rubicon Foundation / UHMS archive</w:t>
      </w:r>
      <w:proofErr w:type="gramStart"/>
      <w:r>
        <w:rPr>
          <w:rFonts w:ascii="Arial" w:eastAsia="Arial" w:hAnsi="Arial" w:cs="Arial"/>
          <w:b/>
          <w:bCs/>
          <w:color w:val="1B3A5C"/>
        </w:rPr>
        <w:t xml:space="preserve">:  </w:t>
      </w:r>
      <w:r>
        <w:rPr>
          <w:rFonts w:ascii="Georgia" w:eastAsia="Georgia" w:hAnsi="Georgia" w:cs="Georgia"/>
          <w:color w:val="333333"/>
        </w:rPr>
        <w:t>digitized</w:t>
      </w:r>
      <w:proofErr w:type="gramEnd"/>
      <w:r>
        <w:rPr>
          <w:rFonts w:ascii="Georgia" w:eastAsia="Georgia" w:hAnsi="Georgia" w:cs="Georgia"/>
          <w:color w:val="333333"/>
        </w:rPr>
        <w:t xml:space="preserve"> Undersea &amp; Hyperbaric Medicine back issues — several 1980s HBOT-MS papers live here outside PubMed</w:t>
      </w:r>
    </w:p>
    <w:p w14:paraId="750F0843" w14:textId="442A27DA" w:rsidR="002604D9" w:rsidRDefault="002604D9">
      <w:pPr>
        <w:spacing w:after="200"/>
      </w:pPr>
    </w:p>
    <w:sectPr w:rsidR="002604D9">
      <w:headerReference w:type="default" r:id="rId33"/>
      <w:footerReference w:type="default" r:id="rId34"/>
      <w:pgSz w:w="12240" w:h="15840"/>
      <w:pgMar w:top="1000" w:right="1080" w:bottom="10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7E445" w14:textId="77777777" w:rsidR="0094635F" w:rsidRDefault="0094635F">
      <w:r>
        <w:separator/>
      </w:r>
    </w:p>
  </w:endnote>
  <w:endnote w:type="continuationSeparator" w:id="0">
    <w:p w14:paraId="6E24527C" w14:textId="77777777" w:rsidR="0094635F" w:rsidRDefault="0094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8BAF" w14:textId="77777777" w:rsidR="002604D9" w:rsidRDefault="00000000">
    <w:pPr>
      <w:jc w:val="center"/>
    </w:pPr>
    <w:r>
      <w:rPr>
        <w:rFonts w:ascii="Arial" w:eastAsia="Arial" w:hAnsi="Arial" w:cs="Arial"/>
        <w:color w:val="666666"/>
        <w:sz w:val="16"/>
        <w:szCs w:val="16"/>
      </w:rPr>
      <w:t xml:space="preserve">TreatNOW </w:t>
    </w:r>
    <w:proofErr w:type="gramStart"/>
    <w:r>
      <w:rPr>
        <w:rFonts w:ascii="Arial" w:eastAsia="Arial" w:hAnsi="Arial" w:cs="Arial"/>
        <w:color w:val="666666"/>
        <w:sz w:val="16"/>
        <w:szCs w:val="16"/>
      </w:rPr>
      <w:t>Coalition  |</w:t>
    </w:r>
    <w:proofErr w:type="gramEnd"/>
    <w:r>
      <w:rPr>
        <w:rFonts w:ascii="Arial" w:eastAsia="Arial" w:hAnsi="Arial" w:cs="Arial"/>
        <w:color w:val="666666"/>
        <w:sz w:val="16"/>
        <w:szCs w:val="16"/>
      </w:rPr>
      <w:t xml:space="preserve">  HBOT4</w:t>
    </w:r>
    <w:proofErr w:type="gramStart"/>
    <w:r>
      <w:rPr>
        <w:rFonts w:ascii="Arial" w:eastAsia="Arial" w:hAnsi="Arial" w:cs="Arial"/>
        <w:color w:val="666666"/>
        <w:sz w:val="16"/>
        <w:szCs w:val="16"/>
      </w:rPr>
      <w:t>KYVETS  |</w:t>
    </w:r>
    <w:proofErr w:type="gramEnd"/>
    <w:r>
      <w:rPr>
        <w:rFonts w:ascii="Arial" w:eastAsia="Arial" w:hAnsi="Arial" w:cs="Arial"/>
        <w:color w:val="666666"/>
        <w:sz w:val="16"/>
        <w:szCs w:val="16"/>
      </w:rPr>
      <w:t xml:space="preserve">  The BART Foundation   —   Page </w:t>
    </w:r>
    <w:r>
      <w:rPr>
        <w:rFonts w:ascii="Arial" w:eastAsia="Arial" w:hAnsi="Arial" w:cs="Arial"/>
        <w:color w:val="666666"/>
        <w:sz w:val="16"/>
        <w:szCs w:val="16"/>
      </w:rPr>
      <w:fldChar w:fldCharType="begin"/>
    </w:r>
    <w:r>
      <w:rPr>
        <w:rFonts w:ascii="Arial" w:eastAsia="Arial" w:hAnsi="Arial" w:cs="Arial"/>
        <w:color w:val="666666"/>
        <w:sz w:val="16"/>
        <w:szCs w:val="16"/>
      </w:rPr>
      <w:instrText>PAGE</w:instrText>
    </w:r>
    <w:r>
      <w:rPr>
        <w:rFonts w:ascii="Arial" w:eastAsia="Arial" w:hAnsi="Arial" w:cs="Arial"/>
        <w:color w:val="666666"/>
        <w:sz w:val="16"/>
        <w:szCs w:val="16"/>
      </w:rPr>
      <w:fldChar w:fldCharType="separate"/>
    </w:r>
    <w:r w:rsidR="00EE3F5B">
      <w:rPr>
        <w:rFonts w:ascii="Arial" w:eastAsia="Arial" w:hAnsi="Arial" w:cs="Arial"/>
        <w:noProof/>
        <w:color w:val="666666"/>
        <w:sz w:val="16"/>
        <w:szCs w:val="16"/>
      </w:rPr>
      <w:t>1</w:t>
    </w:r>
    <w:r>
      <w:rPr>
        <w:rFonts w:ascii="Arial" w:eastAsia="Arial" w:hAnsi="Arial" w:cs="Arial"/>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DA8FC" w14:textId="77777777" w:rsidR="0094635F" w:rsidRDefault="0094635F">
      <w:r>
        <w:separator/>
      </w:r>
    </w:p>
  </w:footnote>
  <w:footnote w:type="continuationSeparator" w:id="0">
    <w:p w14:paraId="685398D7" w14:textId="77777777" w:rsidR="0094635F" w:rsidRDefault="0094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9FA1" w14:textId="77777777" w:rsidR="002604D9" w:rsidRDefault="00000000">
    <w:pPr>
      <w:pBdr>
        <w:bottom w:val="single" w:sz="4" w:space="4" w:color="CCCCCC"/>
      </w:pBdr>
      <w:spacing w:after="100"/>
      <w:jc w:val="right"/>
    </w:pPr>
    <w:r>
      <w:rPr>
        <w:rFonts w:ascii="Arial" w:eastAsia="Arial" w:hAnsi="Arial" w:cs="Arial"/>
        <w:color w:val="999999"/>
        <w:sz w:val="16"/>
        <w:szCs w:val="16"/>
      </w:rPr>
      <w:t>HBOT &amp; Multiple Sclerosis — Annotated Bibliography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641D5"/>
    <w:multiLevelType w:val="hybridMultilevel"/>
    <w:tmpl w:val="9F561446"/>
    <w:lvl w:ilvl="0" w:tplc="243C6AF0">
      <w:start w:val="1"/>
      <w:numFmt w:val="bullet"/>
      <w:lvlText w:val="●"/>
      <w:lvlJc w:val="left"/>
      <w:pPr>
        <w:ind w:left="720" w:hanging="360"/>
      </w:pPr>
    </w:lvl>
    <w:lvl w:ilvl="1" w:tplc="D9D0AEE4">
      <w:start w:val="1"/>
      <w:numFmt w:val="bullet"/>
      <w:lvlText w:val="○"/>
      <w:lvlJc w:val="left"/>
      <w:pPr>
        <w:ind w:left="1440" w:hanging="360"/>
      </w:pPr>
    </w:lvl>
    <w:lvl w:ilvl="2" w:tplc="DF183D0E">
      <w:start w:val="1"/>
      <w:numFmt w:val="bullet"/>
      <w:lvlText w:val="■"/>
      <w:lvlJc w:val="left"/>
      <w:pPr>
        <w:ind w:left="2160" w:hanging="360"/>
      </w:pPr>
    </w:lvl>
    <w:lvl w:ilvl="3" w:tplc="9950003E">
      <w:start w:val="1"/>
      <w:numFmt w:val="bullet"/>
      <w:lvlText w:val="●"/>
      <w:lvlJc w:val="left"/>
      <w:pPr>
        <w:ind w:left="2880" w:hanging="360"/>
      </w:pPr>
    </w:lvl>
    <w:lvl w:ilvl="4" w:tplc="8AB0F6B6">
      <w:start w:val="1"/>
      <w:numFmt w:val="bullet"/>
      <w:lvlText w:val="○"/>
      <w:lvlJc w:val="left"/>
      <w:pPr>
        <w:ind w:left="3600" w:hanging="360"/>
      </w:pPr>
    </w:lvl>
    <w:lvl w:ilvl="5" w:tplc="69C0646C">
      <w:start w:val="1"/>
      <w:numFmt w:val="bullet"/>
      <w:lvlText w:val="■"/>
      <w:lvlJc w:val="left"/>
      <w:pPr>
        <w:ind w:left="4320" w:hanging="360"/>
      </w:pPr>
    </w:lvl>
    <w:lvl w:ilvl="6" w:tplc="E7E85336">
      <w:start w:val="1"/>
      <w:numFmt w:val="bullet"/>
      <w:lvlText w:val="●"/>
      <w:lvlJc w:val="left"/>
      <w:pPr>
        <w:ind w:left="5040" w:hanging="360"/>
      </w:pPr>
    </w:lvl>
    <w:lvl w:ilvl="7" w:tplc="C9CC3928">
      <w:start w:val="1"/>
      <w:numFmt w:val="bullet"/>
      <w:lvlText w:val="●"/>
      <w:lvlJc w:val="left"/>
      <w:pPr>
        <w:ind w:left="5760" w:hanging="360"/>
      </w:pPr>
    </w:lvl>
    <w:lvl w:ilvl="8" w:tplc="04244DA4">
      <w:start w:val="1"/>
      <w:numFmt w:val="bullet"/>
      <w:lvlText w:val="●"/>
      <w:lvlJc w:val="left"/>
      <w:pPr>
        <w:ind w:left="6480" w:hanging="360"/>
      </w:pPr>
    </w:lvl>
  </w:abstractNum>
  <w:num w:numId="1" w16cid:durableId="10114474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9"/>
    <w:rsid w:val="001E44A7"/>
    <w:rsid w:val="002604D9"/>
    <w:rsid w:val="0094635F"/>
    <w:rsid w:val="00EE3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5ECD"/>
  <w15:docId w15:val="{F7D3CFAC-676F-42D9-94B1-5287AD19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4103/2045-9912.311498" TargetMode="External"/><Relationship Id="rId18" Type="http://schemas.openxmlformats.org/officeDocument/2006/relationships/hyperlink" Target="https://pubmed.ncbi.nlm.nih.gov/7639063/" TargetMode="External"/><Relationship Id="rId26" Type="http://schemas.openxmlformats.org/officeDocument/2006/relationships/hyperlink" Target="https://pubmed.ncbi.nlm.nih.gov/" TargetMode="External"/><Relationship Id="rId3" Type="http://schemas.openxmlformats.org/officeDocument/2006/relationships/settings" Target="settings.xml"/><Relationship Id="rId21" Type="http://schemas.openxmlformats.org/officeDocument/2006/relationships/hyperlink" Target="https://pubmed.ncbi.nlm.nih.gov/3320265/" TargetMode="External"/><Relationship Id="rId34" Type="http://schemas.openxmlformats.org/officeDocument/2006/relationships/footer" Target="footer1.xml"/><Relationship Id="rId7" Type="http://schemas.openxmlformats.org/officeDocument/2006/relationships/hyperlink" Target="https://nardellaclinic.com/wp-content/uploads/2018/10/Long-Term-Hyperbaric-Oxygenation-Retards-Progression-in-Multiple-Sclerosis-Patients.pdf" TargetMode="External"/><Relationship Id="rId12" Type="http://schemas.openxmlformats.org/officeDocument/2006/relationships/hyperlink" Target="https://www.ncbi.nlm.nih.gov/pmc/articles/PMC8391387/" TargetMode="External"/><Relationship Id="rId17" Type="http://schemas.openxmlformats.org/officeDocument/2006/relationships/hyperlink" Target="https://o2healthlab.com/wp-content/uploads/2023/11/HBOT-for-MS.pdf" TargetMode="External"/><Relationship Id="rId25" Type="http://schemas.openxmlformats.org/officeDocument/2006/relationships/hyperlink" Target="https://pubmed.ncbi.nlm.nih.gov/3897832/"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chrane.org/CD003057/MS_hyperbaric-oxygen-therapy-which-involves-people-breathing-pure-oxygen-in-a-specially-designed-chamber-for-the-treatment-of-multiple-sclerosis" TargetMode="External"/><Relationship Id="rId20" Type="http://schemas.openxmlformats.org/officeDocument/2006/relationships/hyperlink" Target="https://www.nejm.org/doi/full/10.1056/NEJM198301273080402" TargetMode="External"/><Relationship Id="rId29" Type="http://schemas.openxmlformats.org/officeDocument/2006/relationships/hyperlink" Target="https://doi.org/10.1177/17407745187769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mc.ncbi.nlm.nih.gov/articles/PMC10107096/" TargetMode="External"/><Relationship Id="rId24" Type="http://schemas.openxmlformats.org/officeDocument/2006/relationships/hyperlink" Target="https://pubmed.ncbi.nlm.nih.gov/4009184/" TargetMode="External"/><Relationship Id="rId32" Type="http://schemas.openxmlformats.org/officeDocument/2006/relationships/hyperlink" Target="https://clinicaltrials.gov/" TargetMode="External"/><Relationship Id="rId5" Type="http://schemas.openxmlformats.org/officeDocument/2006/relationships/footnotes" Target="footnotes.xml"/><Relationship Id="rId15" Type="http://schemas.openxmlformats.org/officeDocument/2006/relationships/hyperlink" Target="https://www.cochranelibrary.com/cdsr/doi/10.1002/14651858.CD003057.pub2/full" TargetMode="External"/><Relationship Id="rId23" Type="http://schemas.openxmlformats.org/officeDocument/2006/relationships/hyperlink" Target="https://www.neurology.org/doi/10.1212/WNL.36.7.988" TargetMode="External"/><Relationship Id="rId28" Type="http://schemas.openxmlformats.org/officeDocument/2006/relationships/hyperlink" Target="https://pubmed.ncbi.nlm.nih.gov/" TargetMode="External"/><Relationship Id="rId36" Type="http://schemas.openxmlformats.org/officeDocument/2006/relationships/theme" Target="theme/theme1.xml"/><Relationship Id="rId10" Type="http://schemas.openxmlformats.org/officeDocument/2006/relationships/hyperlink" Target="https://doi.org/10.1093/brain/awaa427" TargetMode="External"/><Relationship Id="rId19" Type="http://schemas.openxmlformats.org/officeDocument/2006/relationships/hyperlink" Target="https://pubmed.ncbi.nlm.nih.gov/30637728/" TargetMode="External"/><Relationship Id="rId31" Type="http://schemas.openxmlformats.org/officeDocument/2006/relationships/hyperlink" Target="https://www.cochranelibrary.com/" TargetMode="External"/><Relationship Id="rId4" Type="http://schemas.openxmlformats.org/officeDocument/2006/relationships/webSettings" Target="webSettings.xml"/><Relationship Id="rId9" Type="http://schemas.openxmlformats.org/officeDocument/2006/relationships/hyperlink" Target="https://doi.org/10.4103/2045-9912.372064" TargetMode="External"/><Relationship Id="rId14" Type="http://schemas.openxmlformats.org/officeDocument/2006/relationships/hyperlink" Target="https://doi.org/10.1016/j.msard.2020.102084" TargetMode="External"/><Relationship Id="rId22" Type="http://schemas.openxmlformats.org/officeDocument/2006/relationships/hyperlink" Target="https://pubmed.ncbi.nlm.nih.gov/3080167/" TargetMode="External"/><Relationship Id="rId27" Type="http://schemas.openxmlformats.org/officeDocument/2006/relationships/hyperlink" Target="https://pubmed.ncbi.nlm.nih.gov/3538228/" TargetMode="External"/><Relationship Id="rId30" Type="http://schemas.openxmlformats.org/officeDocument/2006/relationships/hyperlink" Target="https://pubmed.ncbi.nlm.nih.gov/" TargetMode="External"/><Relationship Id="rId35" Type="http://schemas.openxmlformats.org/officeDocument/2006/relationships/fontTable" Target="fontTable.xml"/><Relationship Id="rId8" Type="http://schemas.openxmlformats.org/officeDocument/2006/relationships/hyperlink" Target="https://link.springer.com/book/10.1007/978-3-319-4714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1502</Words>
  <Characters>8562</Characters>
  <Application>Microsoft Office Word</Application>
  <DocSecurity>0</DocSecurity>
  <Lines>71</Lines>
  <Paragraphs>20</Paragraphs>
  <ScaleCrop>false</ScaleCrop>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Beckman</cp:lastModifiedBy>
  <cp:revision>2</cp:revision>
  <dcterms:created xsi:type="dcterms:W3CDTF">2026-07-25T18:39:00Z</dcterms:created>
  <dcterms:modified xsi:type="dcterms:W3CDTF">2026-07-25T18:39:00Z</dcterms:modified>
</cp:coreProperties>
</file>