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F564E" w14:textId="77777777" w:rsidR="001A4A23" w:rsidRDefault="00000000">
      <w:pPr>
        <w:spacing w:before="200" w:after="80"/>
      </w:pPr>
      <w:r>
        <w:rPr>
          <w:b/>
          <w:bCs/>
          <w:color w:val="1B365D"/>
          <w:sz w:val="36"/>
          <w:szCs w:val="36"/>
        </w:rPr>
        <w:t>HYPERBARIC OXYGEN THERAPY for BRAIN REPAIR</w:t>
      </w:r>
    </w:p>
    <w:p w14:paraId="675EB750" w14:textId="77777777" w:rsidR="001A4A23" w:rsidRDefault="00000000">
      <w:pPr>
        <w:spacing w:after="80"/>
      </w:pPr>
      <w:r>
        <w:rPr>
          <w:color w:val="2E5A6C"/>
          <w:sz w:val="26"/>
          <w:szCs w:val="26"/>
        </w:rPr>
        <w:t>Physiologic and Pharmacokinetic Mechanisms of Brain-Wound Repair</w:t>
      </w:r>
    </w:p>
    <w:p w14:paraId="37AB751E" w14:textId="659F36D6" w:rsidR="001A4A23" w:rsidRDefault="00000000">
      <w:pPr>
        <w:pBdr>
          <w:bottom w:val="single" w:sz="16" w:space="8" w:color="1B365D"/>
        </w:pBdr>
        <w:spacing w:after="240"/>
      </w:pPr>
      <w:r>
        <w:rPr>
          <w:i/>
          <w:iCs/>
          <w:color w:val="555555"/>
        </w:rPr>
        <w:t>Mechanisms Briefing</w:t>
      </w:r>
      <w:r w:rsidR="00264EFF">
        <w:rPr>
          <w:i/>
          <w:iCs/>
          <w:color w:val="555555"/>
        </w:rPr>
        <w:t xml:space="preserve"> and </w:t>
      </w:r>
      <w:r w:rsidR="00264EFF">
        <w:rPr>
          <w:i/>
          <w:iCs/>
          <w:color w:val="555555"/>
        </w:rPr>
        <w:t>Annotated Bibliography</w:t>
      </w:r>
    </w:p>
    <w:p w14:paraId="47B8DFCE" w14:textId="77777777" w:rsidR="001A4A23" w:rsidRDefault="00000000">
      <w:pPr>
        <w:spacing w:after="40" w:line="276" w:lineRule="auto"/>
      </w:pPr>
      <w:r>
        <w:rPr>
          <w:b/>
          <w:bCs/>
        </w:rPr>
        <w:t xml:space="preserve">Prepared for: TreatNOW by </w:t>
      </w:r>
      <w:r>
        <w:t>Kenneth Stoller, MD</w:t>
      </w:r>
    </w:p>
    <w:p w14:paraId="1A6ECEDC" w14:textId="4B8D7C93" w:rsidR="001A4A23" w:rsidRDefault="00000000" w:rsidP="00786C97">
      <w:pPr>
        <w:spacing w:after="40" w:line="276" w:lineRule="auto"/>
      </w:pPr>
      <w:r>
        <w:rPr>
          <w:b/>
          <w:bCs/>
        </w:rPr>
        <w:t xml:space="preserve">Purpose: </w:t>
      </w:r>
      <w:r>
        <w:t xml:space="preserve">Compile the primary literature that demonstrates, at a physiologic and pharmacokinetic level, how </w:t>
      </w:r>
      <w:r w:rsidR="00264EFF">
        <w:t>H</w:t>
      </w:r>
      <w:r>
        <w:t xml:space="preserve">yperbaric </w:t>
      </w:r>
      <w:r w:rsidR="00264EFF">
        <w:t>O</w:t>
      </w:r>
      <w:r>
        <w:t xml:space="preserve">xygen </w:t>
      </w:r>
      <w:r w:rsidR="00264EFF">
        <w:t>T</w:t>
      </w:r>
      <w:r>
        <w:t>herapy (HBOT) repairs brain wounds.</w:t>
      </w:r>
    </w:p>
    <w:p w14:paraId="28028C6A" w14:textId="6D3AA72B" w:rsidR="001A4A23" w:rsidRDefault="00000000">
      <w:pPr>
        <w:spacing w:after="280" w:line="276" w:lineRule="auto"/>
      </w:pPr>
      <w:r>
        <w:rPr>
          <w:b/>
          <w:bCs/>
        </w:rPr>
        <w:t xml:space="preserve">Date: </w:t>
      </w:r>
      <w:r>
        <w:t>2</w:t>
      </w:r>
      <w:r w:rsidR="00264EFF">
        <w:t>8</w:t>
      </w:r>
      <w:r>
        <w:t xml:space="preserve"> September 2026</w:t>
      </w:r>
    </w:p>
    <w:p w14:paraId="04D184B8" w14:textId="77777777" w:rsidR="009669D4" w:rsidRDefault="00000000">
      <w:pPr>
        <w:pStyle w:val="Heading1"/>
        <w:pBdr>
          <w:bottom w:val="single" w:sz="8" w:space="4" w:color="1B365D"/>
        </w:pBdr>
      </w:pPr>
      <w:r>
        <w:t>Executive Summary</w:t>
      </w:r>
    </w:p>
    <w:p w14:paraId="74DD41E2" w14:textId="2DC2A07E" w:rsidR="009669D4" w:rsidRDefault="00000000">
      <w:pPr>
        <w:spacing w:after="160" w:line="276" w:lineRule="auto"/>
        <w:jc w:val="both"/>
      </w:pPr>
      <w:r>
        <w:t xml:space="preserve">A wound is damaged tissue that </w:t>
      </w:r>
      <w:r w:rsidR="009A042D">
        <w:t>may not</w:t>
      </w:r>
      <w:r>
        <w:t xml:space="preserve"> heal on its own </w:t>
      </w:r>
      <w:r w:rsidR="009A042D">
        <w:t>when</w:t>
      </w:r>
      <w:r>
        <w:t xml:space="preserve"> it is not getting enough oxygen. Doctors already accept that hyperbaric oxygen therapy (HBOT) — breathing 100 percent oxygen inside a pressurized chamber — helps these wounds heal. HBOT is an accepted, on-label treatment for five conditions</w:t>
      </w:r>
      <w:r w:rsidR="009A042D">
        <w:t xml:space="preserve"> that are </w:t>
      </w:r>
      <w:proofErr w:type="gramStart"/>
      <w:r w:rsidR="009A042D">
        <w:t>similar to</w:t>
      </w:r>
      <w:proofErr w:type="gramEnd"/>
      <w:r w:rsidR="009A042D">
        <w:t xml:space="preserve"> a brain wound</w:t>
      </w:r>
      <w:r>
        <w:t>: carbon monoxide poisoning, decompression sickness (“the bends”), arterial gas embolism, thermal burns, and diabetic foot ulcers.</w:t>
      </w:r>
    </w:p>
    <w:p w14:paraId="67358066" w14:textId="0DBFC347" w:rsidR="009669D4" w:rsidRDefault="00000000">
      <w:pPr>
        <w:spacing w:after="160" w:line="276" w:lineRule="auto"/>
        <w:jc w:val="both"/>
      </w:pPr>
      <w:r>
        <w:t xml:space="preserve">This paper asks one simple question: </w:t>
      </w:r>
      <w:r>
        <w:rPr>
          <w:b/>
          <w:bCs/>
        </w:rPr>
        <w:t>Is an injured brain a different kind of wound?</w:t>
      </w:r>
      <w:r>
        <w:t xml:space="preserve"> The science says </w:t>
      </w:r>
      <w:r w:rsidR="009A042D">
        <w:t>the injuries to the brain a</w:t>
      </w:r>
      <w:r w:rsidR="00264EFF">
        <w:t>r</w:t>
      </w:r>
      <w:r w:rsidR="009A042D">
        <w:t>e similar</w:t>
      </w:r>
      <w:r w:rsidR="00264EFF">
        <w:t>, perhaps identical, just hidden</w:t>
      </w:r>
      <w:r w:rsidR="009A042D">
        <w:t>.</w:t>
      </w:r>
    </w:p>
    <w:p w14:paraId="0A8BA84B" w14:textId="77777777" w:rsidR="009669D4" w:rsidRDefault="00000000">
      <w:pPr>
        <w:spacing w:after="120" w:line="276" w:lineRule="auto"/>
        <w:jc w:val="both"/>
      </w:pPr>
      <w:r>
        <w:rPr>
          <w:b/>
          <w:bCs/>
          <w:color w:val="1B365D"/>
        </w:rPr>
        <w:t xml:space="preserve">The brain wound is real. </w:t>
      </w:r>
      <w:r>
        <w:t>After a blast, a blow to the head, a stroke, or poisoning, parts of the brain are left alive but starved — not dead, but not working. Without more oxygen, this tissue cannot repair itself.</w:t>
      </w:r>
    </w:p>
    <w:p w14:paraId="2AC3F38E" w14:textId="77777777" w:rsidR="009669D4" w:rsidRDefault="00000000">
      <w:pPr>
        <w:spacing w:after="120" w:line="276" w:lineRule="auto"/>
        <w:jc w:val="both"/>
      </w:pPr>
      <w:r>
        <w:rPr>
          <w:b/>
          <w:bCs/>
          <w:color w:val="1B365D"/>
        </w:rPr>
        <w:t xml:space="preserve">HBOT gets the oxygen there. </w:t>
      </w:r>
      <w:r>
        <w:t>Under pressure, oxygen dissolves straight into the liquid part of the blood, so it can reach tissue that red blood cells cannot. In patients with severe brain injury, HBOT raised oxygen in the brain from about 30 to several hundred (mm Hg). Ordinary oxygen from a mask does not reliably do this.</w:t>
      </w:r>
    </w:p>
    <w:p w14:paraId="3A634BCE" w14:textId="77777777" w:rsidR="009669D4" w:rsidRDefault="00000000">
      <w:pPr>
        <w:spacing w:after="120" w:line="276" w:lineRule="auto"/>
        <w:jc w:val="both"/>
      </w:pPr>
      <w:r>
        <w:rPr>
          <w:b/>
          <w:bCs/>
          <w:color w:val="1B365D"/>
        </w:rPr>
        <w:t xml:space="preserve">The repair is the same. </w:t>
      </w:r>
      <w:r>
        <w:t>Once oxygen reaches the damaged area, the brain goes through the same healing steps as a burn or a foot ulcer: the cells’ power plants (mitochondria) restart, swelling and inflammation go down, new blood vessels grow, and the body’s repair signals switch on.</w:t>
      </w:r>
    </w:p>
    <w:p w14:paraId="0E5FE0AD" w14:textId="77777777" w:rsidR="009669D4" w:rsidRDefault="00000000">
      <w:pPr>
        <w:spacing w:after="160" w:line="276" w:lineRule="auto"/>
        <w:jc w:val="both"/>
      </w:pPr>
      <w:r>
        <w:rPr>
          <w:b/>
          <w:bCs/>
          <w:color w:val="1B365D"/>
        </w:rPr>
        <w:t xml:space="preserve">The results can be measured. </w:t>
      </w:r>
      <w:r>
        <w:t>Brain scans show better blood flow and repaired nerve pathways. Patients show better thinking, memory, and mood — even years after injury. In a trial of severe brain injury, HBOT reduced deaths by 26 percentage points. In veterans with blast injuries, 40 sessions raised IQ scores by nearly 15 points.</w:t>
      </w:r>
    </w:p>
    <w:p w14:paraId="0F3B013A" w14:textId="13CC9D62" w:rsidR="009669D4" w:rsidRDefault="00000000">
      <w:pPr>
        <w:spacing w:after="280" w:line="276" w:lineRule="auto"/>
        <w:jc w:val="both"/>
      </w:pPr>
      <w:r>
        <w:rPr>
          <w:b/>
          <w:bCs/>
          <w:color w:val="1B365D"/>
        </w:rPr>
        <w:t xml:space="preserve">Bottom line: </w:t>
      </w:r>
      <w:r>
        <w:t xml:space="preserve">A brain wound is a </w:t>
      </w:r>
      <w:r w:rsidR="00C26620">
        <w:t xml:space="preserve">physiologic </w:t>
      </w:r>
      <w:r>
        <w:t>wound</w:t>
      </w:r>
      <w:r w:rsidR="00C26620">
        <w:t xml:space="preserve"> to the body, frequently with neurocognitive complications</w:t>
      </w:r>
      <w:r>
        <w:t xml:space="preserve">. HBOT for a brain wound is little different from HBOT for a visible </w:t>
      </w:r>
      <w:proofErr w:type="gramStart"/>
      <w:r>
        <w:t>wound, and</w:t>
      </w:r>
      <w:proofErr w:type="gramEnd"/>
      <w:r>
        <w:t xml:space="preserve"> is therefore </w:t>
      </w:r>
      <w:r w:rsidR="009A042D">
        <w:t>arguably</w:t>
      </w:r>
      <w:r>
        <w:t xml:space="preserve"> already </w:t>
      </w:r>
      <w:proofErr w:type="gramStart"/>
      <w:r>
        <w:t>on-label</w:t>
      </w:r>
      <w:proofErr w:type="gramEnd"/>
      <w:r>
        <w:t xml:space="preserve"> </w:t>
      </w:r>
      <w:r w:rsidR="009A042D">
        <w:t xml:space="preserve">due to similarities to </w:t>
      </w:r>
      <w:r>
        <w:t>the five indications that are already approved. The open question is not whether HBOT works on the brain</w:t>
      </w:r>
      <w:r w:rsidR="00C26620">
        <w:t>:</w:t>
      </w:r>
      <w:r w:rsidR="009A042D">
        <w:t xml:space="preserve"> that is settled science. Open questions center on the correct dosages</w:t>
      </w:r>
      <w:r>
        <w:t xml:space="preserve"> — the </w:t>
      </w:r>
      <w:r w:rsidR="009A042D">
        <w:t>optimum</w:t>
      </w:r>
      <w:r>
        <w:t xml:space="preserve"> pressure, number of sessions, and timing.</w:t>
      </w:r>
      <w:r w:rsidR="009A042D">
        <w:t xml:space="preserve"> </w:t>
      </w:r>
      <w:proofErr w:type="gramStart"/>
      <w:r w:rsidR="009A042D">
        <w:t>Thirty peer</w:t>
      </w:r>
      <w:proofErr w:type="gramEnd"/>
      <w:r w:rsidR="009A042D">
        <w:t>-reviewed clinical studies demonstrate safety and efficacy. Politics, not medicine, prevent recognition and approval of HBOT as a healing modality for TBI/PTSD/Blast/Concussion.</w:t>
      </w:r>
    </w:p>
    <w:p w14:paraId="65AAC045" w14:textId="77777777" w:rsidR="00786C97" w:rsidRDefault="00786C97" w:rsidP="00786C97">
      <w:pPr>
        <w:pStyle w:val="Heading1"/>
        <w:pageBreakBefore/>
        <w:pBdr>
          <w:bottom w:val="single" w:sz="8" w:space="4" w:color="1B365D"/>
        </w:pBdr>
      </w:pPr>
      <w:r>
        <w:lastRenderedPageBreak/>
        <w:t>Part I. Mechanisms Briefing</w:t>
      </w:r>
    </w:p>
    <w:p w14:paraId="629F0BBA" w14:textId="77777777" w:rsidR="00786C97" w:rsidRDefault="00786C97" w:rsidP="00786C97">
      <w:pPr>
        <w:spacing w:after="200"/>
      </w:pPr>
      <w:r>
        <w:rPr>
          <w:i/>
          <w:iCs/>
          <w:color w:val="2E5A6C"/>
        </w:rPr>
        <w:t>Hyperbaric Oxygen Therapy as a Wound-Healing Intervention for the Injured Brain: Physiologic and Pharmacokinetic Basis</w:t>
      </w:r>
    </w:p>
    <w:p w14:paraId="0A91D7A8" w14:textId="77777777" w:rsidR="00786C97" w:rsidRDefault="00786C97" w:rsidP="00786C97">
      <w:pPr>
        <w:pStyle w:val="Heading2"/>
      </w:pPr>
      <w:r>
        <w:t>1. Regulatory Frame</w:t>
      </w:r>
    </w:p>
    <w:p w14:paraId="180B0FE4" w14:textId="77777777" w:rsidR="00786C97" w:rsidRDefault="00786C97" w:rsidP="00786C97">
      <w:pPr>
        <w:spacing w:after="160" w:line="276" w:lineRule="auto"/>
        <w:jc w:val="both"/>
      </w:pPr>
      <w:r>
        <w:t>Hyperbaric oxygen therapy is already an accepted treatment for several conditions whose pathology is a wound of brain or of tissue with an identical molecular program: carbon monoxide poisoning, decompression sickness, arterial gas embolism, thermal burns, and diabetic foot ulcers. The question before regulators is not whether HBOT can heal wounds. It is whether the brain, when injured by trauma, ischemia, hypobaric hypoxia, or mitochondrial poisoning, is a wound of a different biologic class. The pharmacokinetic and molecular evidence says it is not.</w:t>
      </w:r>
    </w:p>
    <w:p w14:paraId="7B6D58B8" w14:textId="77777777" w:rsidR="00786C97" w:rsidRDefault="00786C97" w:rsidP="00786C97">
      <w:pPr>
        <w:spacing w:after="160" w:line="276" w:lineRule="auto"/>
        <w:jc w:val="both"/>
      </w:pPr>
      <w:r>
        <w:t>A brain wound is defined here as a region of viable but metabolically compromised neural and microvascular tissue in which oxygen delivery, mitochondrial ATP production, endothelial integrity, and the capacity for angiogenesis and synaptogenesis are insufficient for spontaneous repair. Carbon monoxide poisoning, Type II decompression sickness, high-altitude cerebral edema, and the pericontusional and “stunned” compartments of traumatic brain injury and stroke all meet that definition.</w:t>
      </w:r>
    </w:p>
    <w:p w14:paraId="2CF18235" w14:textId="77777777" w:rsidR="009669D4" w:rsidRDefault="00000000">
      <w:pPr>
        <w:keepNext/>
        <w:spacing w:before="60" w:after="240"/>
        <w:jc w:val="center"/>
      </w:pPr>
      <w:r>
        <w:rPr>
          <w:noProof/>
        </w:rPr>
        <w:drawing>
          <wp:inline distT="0" distB="0" distL="0" distR="0" wp14:anchorId="03173D71" wp14:editId="2D9CBBA5">
            <wp:extent cx="6400800" cy="3632596"/>
            <wp:effectExtent l="0" t="0" r="0" b="0"/>
            <wp:docPr id="101" name="Box 101" descr="In Plain Terms: How Does a Wound Heal? Whether a wound is on the skin or inside the brain, the body heals it in the same four overlapping stages.  Every stage runs on oxygen. 1. Stop the damage —  the body seals off the injured area so the harm does not spread. 2. Clean up (inflammation) —  white blood cells rush in to clear away dead and damaged cells. This helps at first, but if it goes on too long it causes swelling and more damage. 3. Rebuild —  new blood vessels grow into the area, and repair cells, including stem cells, build new tissue. In the brain, this includes new connections between nerve cells. 4. Strengthen —  over weeks to months, the new tissue matures and gets stronger. In the brain, new connections that get used are kept and reinforced. Why oxygen matters:  Cells need oxygen to make the energy that powers every stage. When an injury damages the blood supply, the wound runs short of oxygen and healing stalls. The wound gets “stuck,” often in the inflammation stage. That is a chronic, non-healing wound. How HBOT helps:  HBOT supplies the missing oxygen. It calms runaway inflammation, powers the cells doing the repair, and switches on the signals that grow new blood vessels and call in stem cells. These effects are the same whether the wound is a diabetic foot ulcer or an injured 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wound.png"/>
                    <pic:cNvPicPr/>
                  </pic:nvPicPr>
                  <pic:blipFill>
                    <a:blip r:embed="rId7"/>
                    <a:stretch>
                      <a:fillRect/>
                    </a:stretch>
                  </pic:blipFill>
                  <pic:spPr>
                    <a:xfrm>
                      <a:off x="0" y="0"/>
                      <a:ext cx="6400800" cy="3632596"/>
                    </a:xfrm>
                    <a:prstGeom prst="rect">
                      <a:avLst/>
                    </a:prstGeom>
                  </pic:spPr>
                </pic:pic>
              </a:graphicData>
            </a:graphic>
          </wp:inline>
        </w:drawing>
      </w:r>
    </w:p>
    <w:p w14:paraId="481CEC5E" w14:textId="77777777" w:rsidR="00786C97" w:rsidRDefault="00786C97" w:rsidP="00786C97">
      <w:pPr>
        <w:pStyle w:val="Heading2"/>
        <w:keepNext/>
        <w:pageBreakBefore/>
      </w:pPr>
      <w:r>
        <w:lastRenderedPageBreak/>
        <w:t>2. Primary Pharmacokinetic Event</w:t>
      </w:r>
    </w:p>
    <w:p w14:paraId="18A4A612" w14:textId="77777777" w:rsidR="009669D4" w:rsidRDefault="00000000">
      <w:pPr>
        <w:keepNext/>
        <w:spacing w:before="60" w:after="240"/>
        <w:jc w:val="center"/>
      </w:pPr>
      <w:r>
        <w:rPr>
          <w:noProof/>
        </w:rPr>
        <w:drawing>
          <wp:inline distT="0" distB="0" distL="0" distR="0" wp14:anchorId="70D76722" wp14:editId="129C6B0E">
            <wp:extent cx="6400800" cy="2896790"/>
            <wp:effectExtent l="0" t="0" r="0" b="0"/>
            <wp:docPr id="102" name="Box 102" descr="In Plain Terms: What Does “Pharmacokinetic” Mean? Pharmacokinetic  describes what the body does to a drug after it is taken. It covers four steps, often remembered as  ADME : 1. Absorption —  how the drug gets into the bloodstream. 2. Distribution —  where it travels in the body, and how much reaches the target tissue, such as the brain. 3. Metabolism —  how the body breaks it down, mostly in the liver. 4. Excretion —  how the body gets rid of it, usually through urine or breath. The flip side is  pharmacodynamics : what the drug does to the body — its effects. Why it matters for HBOT:  In HBOT, oxygen is the drug. The pharmacokinetic questions are how much extra oxygen dissolves into the blood under pressure, how far it reaches into injured brain tissue, and how quickly those levels return to normal after a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k.png"/>
                    <pic:cNvPicPr/>
                  </pic:nvPicPr>
                  <pic:blipFill>
                    <a:blip r:embed="rId8"/>
                    <a:stretch>
                      <a:fillRect/>
                    </a:stretch>
                  </pic:blipFill>
                  <pic:spPr>
                    <a:xfrm>
                      <a:off x="0" y="0"/>
                      <a:ext cx="6400800" cy="2896790"/>
                    </a:xfrm>
                    <a:prstGeom prst="rect">
                      <a:avLst/>
                    </a:prstGeom>
                  </pic:spPr>
                </pic:pic>
              </a:graphicData>
            </a:graphic>
          </wp:inline>
        </w:drawing>
      </w:r>
    </w:p>
    <w:p w14:paraId="7F83C4CC" w14:textId="77777777" w:rsidR="00786C97" w:rsidRDefault="00786C97" w:rsidP="00786C97">
      <w:pPr>
        <w:spacing w:after="160" w:line="276" w:lineRule="auto"/>
        <w:jc w:val="both"/>
      </w:pPr>
      <w:r>
        <w:t>Under Henry’s law, the amount of oxygen dissolved in plasma rises in linear proportion to inspired PO2. At 1 ATA air, dissolved plasma oxygen is approximately 0.3 volumes percent. At 2.0 to 2.5 ATA of 100 percent oxygen it increases ten- to fifteen-fold. Hemoglobin is already fully saturated at modest FiO2; the incremental oxygen is physically dissolved and therefore available for diffusion into tissue whose red-cell flow is impaired.</w:t>
      </w:r>
    </w:p>
    <w:p w14:paraId="7D21B227" w14:textId="77777777" w:rsidR="00786C97" w:rsidRDefault="00786C97" w:rsidP="00786C97">
      <w:pPr>
        <w:spacing w:after="160" w:line="276" w:lineRule="auto"/>
        <w:jc w:val="both"/>
      </w:pPr>
      <w:r>
        <w:t>Rockswold and colleagues measured that increment in the wounded human brain with Licox probes. Baseline brain-tissue PO2 in severe TBI was approximately 30 mm Hg. During 1.5 ATA HBO2, pericontusional and relatively uninjured tissue PO2 rose into the hundreds of mm Hg—on the order of 600 percent of control in the combined HBO2/normobaric-hyperoxia protocol. The metabolic consequence was not confined to the session. Cerebral metabolic rate of oxygen and cerebral blood flow remained elevated for approximately six hours; microdialysate lactate and the lactate/pyruvate ratio fell; intracranial pressure declined. Combined treatment produced an absolute 26 percent reduction in mortality and a 36 percent improvement in favorable sliding-dichotomized Glasgow Outcome Scale in a Phase II randomized trial (Rockswold 2010; Rockswold 2013).</w:t>
      </w:r>
    </w:p>
    <w:p w14:paraId="10BC7FAD" w14:textId="77777777" w:rsidR="00786C97" w:rsidRDefault="00786C97" w:rsidP="00786C97">
      <w:pPr>
        <w:spacing w:after="160" w:line="276" w:lineRule="auto"/>
        <w:jc w:val="both"/>
      </w:pPr>
      <w:r>
        <w:t>Two pharmacokinetic facts follow. First, the relevant drug is dissolved oxygen delivered to a tissue PO2 threshold of approximately 200 mm Hg, not “more oxygen on hemoglobin.” Second, normobaric 100 percent oxygen does not reliably reach that threshold in injured brain and does not reproduce the post-treatment metabolic effect. Treating HBOT and normobaric oxygen as interchangeable exposures is a category error.</w:t>
      </w:r>
    </w:p>
    <w:p w14:paraId="2A7ACCEA" w14:textId="77777777" w:rsidR="00786C97" w:rsidRDefault="00786C97" w:rsidP="00786C97">
      <w:pPr>
        <w:pStyle w:val="Heading2"/>
      </w:pPr>
      <w:r>
        <w:t>3. Immediate Physiologic Rescue</w:t>
      </w:r>
    </w:p>
    <w:p w14:paraId="44140845" w14:textId="77777777" w:rsidR="00786C97" w:rsidRDefault="00786C97" w:rsidP="00786C97">
      <w:pPr>
        <w:pStyle w:val="Heading3"/>
      </w:pPr>
      <w:r>
        <w:t>3.1 Restoration of aerobic metabolism</w:t>
      </w:r>
    </w:p>
    <w:p w14:paraId="4F8E220C" w14:textId="77777777" w:rsidR="00786C97" w:rsidRDefault="00786C97" w:rsidP="00786C97">
      <w:pPr>
        <w:spacing w:after="160" w:line="276" w:lineRule="auto"/>
        <w:jc w:val="both"/>
      </w:pPr>
      <w:r>
        <w:t xml:space="preserve">Hypoxic-ischemic brain switches to inefficient glycolysis, depletes ATP, fails Na/K-ATPase, and proceeds to cytotoxic edema and apoptosis. Elevation of tissue PO2 converts the compartment back to oxidative phosphorylation. Human microdialysis and CMRO2 data, and preclinical measurements of synaptosomal mitochondrial activity, document this conversion (Rockswold 2010; Huang 2011). More than 90 percent </w:t>
      </w:r>
      <w:r>
        <w:lastRenderedPageBreak/>
        <w:t>of cerebral oxygen consumption is mitochondrial; a rise in CMRO2 after HBO2 is therefore a direct readout of mitochondrial rescue.</w:t>
      </w:r>
    </w:p>
    <w:p w14:paraId="1ABCFE2E" w14:textId="77777777" w:rsidR="00786C97" w:rsidRDefault="00786C97" w:rsidP="00786C97">
      <w:pPr>
        <w:pStyle w:val="Heading3"/>
      </w:pPr>
      <w:r>
        <w:t>3.2 Intracranial pressure and edema</w:t>
      </w:r>
    </w:p>
    <w:p w14:paraId="5F6FD9B0" w14:textId="77777777" w:rsidR="00786C97" w:rsidRDefault="00786C97" w:rsidP="00786C97">
      <w:pPr>
        <w:spacing w:after="160" w:line="276" w:lineRule="auto"/>
        <w:jc w:val="both"/>
      </w:pPr>
      <w:r>
        <w:t>Hyperoxia produces cerebral arteriolar vasoconstriction while increasing net oxygen delivery—the hyperoxic paradox. The net effect is lower cerebral blood volume and lower intracranial pressure, first quantified in head-injured patients and confirmed in the Rockswold trials. The same vasoconstriction-plus-oxygenation logic applies to the vasogenic component of high-altitude cerebral edema.</w:t>
      </w:r>
    </w:p>
    <w:p w14:paraId="60FF30DE" w14:textId="77777777" w:rsidR="00786C97" w:rsidRDefault="00786C97" w:rsidP="00786C97">
      <w:pPr>
        <w:pStyle w:val="Heading3"/>
      </w:pPr>
      <w:r>
        <w:t>3.3 Blood-brain barrier and leukocyte adhesion</w:t>
      </w:r>
    </w:p>
    <w:p w14:paraId="39029F1F" w14:textId="77777777" w:rsidR="00786C97" w:rsidRDefault="00786C97" w:rsidP="00786C97">
      <w:pPr>
        <w:spacing w:after="160" w:line="276" w:lineRule="auto"/>
        <w:jc w:val="both"/>
      </w:pPr>
      <w:r>
        <w:t>At doses of 2.0 ATA and above, HBOT transiently inhibits neutrophil β2-integrin function through impaired cGMP synthesis and S-nitrosylation of C-terminal actin cysteines (Thom 1997; Thom 2008). The result is reduced endothelial sticking, reduced lipid peroxidation, and interruption of the leukocyte-driven secondary injury cascade that produces delayed neurologic syndrome after carbon monoxide poisoning and that is equally documented after decompression-bubble endothelial injury and traumatic neuroinflammation. This is a pharmacologic action of pressure-dose oxygen, not a nonspecific “anti-inflammatory” claim.</w:t>
      </w:r>
    </w:p>
    <w:p w14:paraId="349F465F" w14:textId="77777777" w:rsidR="00786C97" w:rsidRDefault="00786C97" w:rsidP="00786C97">
      <w:pPr>
        <w:pStyle w:val="Heading2"/>
      </w:pPr>
      <w:r>
        <w:t>4. Mitochondrial Pharmacology</w:t>
      </w:r>
    </w:p>
    <w:p w14:paraId="5D5B89BE" w14:textId="77777777" w:rsidR="00786C97" w:rsidRDefault="00786C97" w:rsidP="00786C97">
      <w:pPr>
        <w:spacing w:after="160" w:line="276" w:lineRule="auto"/>
        <w:jc w:val="both"/>
      </w:pPr>
      <w:r>
        <w:t>Carbon monoxide, Type II decompression sickness, acute mountain sickness, and traumatic brain injury share mitochondrial failure as a final common pathway. Carbon monoxide binds the heme a3 site of cytochrome-c oxidase. Brown and Piantadosi demonstrated in vivo that 3 ATA oxygen dissociates that ligand and restores electron-transport-chain function while carboxyhemoglobin is still elevated. The same dissolved-oxygen increment shortens COHb half-life from approximately 5.5 hours on air to approximately 20 to 30 minutes at 2.5–3.0 ATA (Weaver 2002; Sethuraman 2023).</w:t>
      </w:r>
    </w:p>
    <w:p w14:paraId="1BC0390F" w14:textId="77777777" w:rsidR="00786C97" w:rsidRDefault="00786C97" w:rsidP="00786C97">
      <w:pPr>
        <w:spacing w:after="160" w:line="276" w:lineRule="auto"/>
        <w:jc w:val="both"/>
      </w:pPr>
      <w:r>
        <w:t>In TBI models and in human microdialysis, repeated HBOT increases ATP, raises Bcl-2 relative to Bax, inhibits mitochondrial permeability-transition pores, and promotes transfer of mitochondria from astrocytes to injured neurons (Gottfried 2021; Bin-Alamer 2024). Protocol matters. Short exposures can transiently increase reactive oxygen species; multi-week protocols improve mitochondrial quality and quantity and upregulate antioxidant defenses (Schottlender 2021). That is why 40- to 60-session regimens outperform single dives in chronic injury, and why mountain sickness is correctly described as a neuro-mitochondrial deficiency rather than a simple hypoxemia.</w:t>
      </w:r>
    </w:p>
    <w:p w14:paraId="3859B1AB" w14:textId="77777777" w:rsidR="00786C97" w:rsidRDefault="00786C97" w:rsidP="00786C97">
      <w:pPr>
        <w:pStyle w:val="Heading2"/>
      </w:pPr>
      <w:r>
        <w:t>5. Delayed, Gene-Level Wound Healing</w:t>
      </w:r>
    </w:p>
    <w:p w14:paraId="6401AFF5" w14:textId="77777777" w:rsidR="00786C97" w:rsidRDefault="00786C97" w:rsidP="00786C97">
      <w:pPr>
        <w:spacing w:after="160" w:line="276" w:lineRule="auto"/>
        <w:jc w:val="both"/>
      </w:pPr>
      <w:r>
        <w:t>Once the tissue is no longer in energy failure, intermittent hyperoxia functions as a gene-expression therapy (Harch 2015). Return from 100 percent oxygen at pressure to 21 percent oxygen at 1 ATA is interpreted by the cell as a relative hypoxic signal even though absolute PO2 remains high—the hyperoxic-hypoxic paradox. HIF-1α is stabilized; Nrf2 is activated by the hyperoxic limb. Downstream consequences, documented in both rodent brain-injury models and human imaging, include:</w:t>
      </w:r>
    </w:p>
    <w:p w14:paraId="2FC824BE" w14:textId="77777777" w:rsidR="00786C97" w:rsidRDefault="00786C97" w:rsidP="00786C97">
      <w:pPr>
        <w:pStyle w:val="ListParagraph"/>
        <w:numPr>
          <w:ilvl w:val="0"/>
          <w:numId w:val="2"/>
        </w:numPr>
        <w:spacing w:after="80" w:line="276" w:lineRule="auto"/>
      </w:pPr>
      <w:r>
        <w:t>Angiogenesis via VEGF, VEGFR-2, and ERK/MEK/Raf, with human corroboration as increased CBF and CBV on DSC-MRI and more homogeneous perfusion on SPECT (Tal 2017; Efrati 2013; Harch 2012).</w:t>
      </w:r>
    </w:p>
    <w:p w14:paraId="2C366597" w14:textId="77777777" w:rsidR="00786C97" w:rsidRDefault="00786C97" w:rsidP="00786C97">
      <w:pPr>
        <w:pStyle w:val="ListParagraph"/>
        <w:numPr>
          <w:ilvl w:val="0"/>
          <w:numId w:val="2"/>
        </w:numPr>
        <w:spacing w:after="80" w:line="276" w:lineRule="auto"/>
      </w:pPr>
      <w:r>
        <w:t>Neurogenesis via Wnt-3, nestin, doublecortin, and progenitor migration from the subventricular zone and dentate gyrus, with a demonstrated ROS/HIF-1α/β-catenin requirement (Hu 2014; Gottfried 2021).</w:t>
      </w:r>
    </w:p>
    <w:p w14:paraId="3DE42028" w14:textId="77777777" w:rsidR="00786C97" w:rsidRDefault="00786C97" w:rsidP="00786C97">
      <w:pPr>
        <w:pStyle w:val="ListParagraph"/>
        <w:numPr>
          <w:ilvl w:val="0"/>
          <w:numId w:val="2"/>
        </w:numPr>
        <w:spacing w:after="80" w:line="276" w:lineRule="auto"/>
      </w:pPr>
      <w:r>
        <w:lastRenderedPageBreak/>
        <w:t>Synaptogenesis and axonal repair via GAP-43 and synaptophysin, with DTI increases in fractional anisotropy and decreases in mean diffusivity in chronic TBI (Tal 2017; Bin-Alamer 2024).</w:t>
      </w:r>
    </w:p>
    <w:p w14:paraId="73B27140" w14:textId="77777777" w:rsidR="00786C97" w:rsidRDefault="00786C97" w:rsidP="00786C97">
      <w:pPr>
        <w:pStyle w:val="ListParagraph"/>
        <w:numPr>
          <w:ilvl w:val="0"/>
          <w:numId w:val="2"/>
        </w:numPr>
        <w:spacing w:after="160" w:line="276" w:lineRule="auto"/>
      </w:pPr>
      <w:r>
        <w:t>Anti-apoptosis and anti-inflammation: lower TNF-α, IL-1β, IL-6, NF-κB, and caspase-3; higher IL-10 and BDNF. Nitric-oxide-dependent mobilization of endothelial progenitor cells and neural stem cells—the same stem-cell signal accepted for chronic non-healing somatic wounds (Thom 2011).</w:t>
      </w:r>
    </w:p>
    <w:p w14:paraId="1FAF9279" w14:textId="77777777" w:rsidR="00786C97" w:rsidRDefault="00786C97" w:rsidP="00786C97">
      <w:pPr>
        <w:spacing w:after="160" w:line="276" w:lineRule="auto"/>
        <w:jc w:val="both"/>
      </w:pPr>
      <w:r>
        <w:t>Efrati’s group translated this cascade into humans with SPECT, DTI, and DSC-MRI. In chronic stroke and chronic mild TBI with persistent post-concussion syndrome, 40 sessions increased perfusion and improved white-matter microstructure in regions that were anatomically intact but metabolically silent—the idling-neuron or stunned-tissue compartment. Clinical gains tracked the imaging changes (Efrati 2013; Boussi-Gross 2013; Tal 2017). Harch’s SPECT series in blast mTBI showed the same pattern: heterogeneous white-matter hypoperfusion became more homogeneous after 40 sessions at 1.5 ATA, with corresponding cognitive and PTSD-scale improvements (Harch 2012).</w:t>
      </w:r>
    </w:p>
    <w:p w14:paraId="2D92E6ED" w14:textId="5BDD538D" w:rsidR="00786C97" w:rsidRDefault="00786C97" w:rsidP="00786C97">
      <w:pPr>
        <w:pStyle w:val="Heading2"/>
      </w:pPr>
      <w:r>
        <w:t xml:space="preserve">6. Senolytic </w:t>
      </w:r>
      <w:r w:rsidR="00C26620">
        <w:t xml:space="preserve">(fighting aging) </w:t>
      </w:r>
      <w:r>
        <w:t>Contribution in Chronic Wounds</w:t>
      </w:r>
    </w:p>
    <w:p w14:paraId="77B1EA0F" w14:textId="77777777" w:rsidR="00786C97" w:rsidRDefault="00786C97" w:rsidP="00786C97">
      <w:pPr>
        <w:spacing w:after="160" w:line="276" w:lineRule="auto"/>
        <w:jc w:val="both"/>
      </w:pPr>
      <w:r>
        <w:t>Senescent cells in the neurovascular unit secrete a senescence-associated secretory phenotype that perpetuates inflammation and blocks repair. Hachmo, Hadanny, and Efrati administered 60 HBOT sessions to healthy adults aged 64 and older and measured peripheral-blood mononuclear cells. Telomere length increased more than 20 percent (B cells 38 percent). Senescent T-helper cells decreased 37 percent; senescent T-cytotoxic cells decreased 11 percent (Hachmo 2020). Clearance of senescent cells is a plausible additional mechanism for multi-week protocols in chronic TBI, stroke, and age-related cognitive decline. It is the same biology that would be uncontroversial if the wound were on the foot.</w:t>
      </w:r>
    </w:p>
    <w:p w14:paraId="7F6D4B17" w14:textId="77777777" w:rsidR="00786C97" w:rsidRDefault="00786C97" w:rsidP="00786C97">
      <w:pPr>
        <w:pStyle w:val="Heading2"/>
      </w:pPr>
      <w:r>
        <w:t>7. Mapping onto Accepted Indications</w:t>
      </w:r>
    </w:p>
    <w:p w14:paraId="1EE6A51F" w14:textId="77777777" w:rsidR="00786C97" w:rsidRDefault="00786C97" w:rsidP="00786C97">
      <w:pPr>
        <w:spacing w:after="160" w:line="276" w:lineRule="auto"/>
        <w:jc w:val="both"/>
      </w:pPr>
      <w:r>
        <w:t>Carbon monoxide poisoning is dual: carboxyhemoglobin plus left-shifted oxyhemoglobin dissociation, and direct mitochondrial poisoning plus neutrophil-mediated delayed demyelination. HBOT accelerates CO off-loading, restores cytochrome oxidase, and blocks β2-integrin-dependent lipid peroxidation. That triad is why UHMS treats CO as an approved indication while the identical triad is discounted when the initiating insult is blast, impact, or hypobaric hypoxia.</w:t>
      </w:r>
    </w:p>
    <w:p w14:paraId="1159622B" w14:textId="77777777" w:rsidR="00786C97" w:rsidRDefault="00786C97" w:rsidP="00786C97">
      <w:pPr>
        <w:spacing w:after="160" w:line="276" w:lineRule="auto"/>
        <w:jc w:val="both"/>
      </w:pPr>
      <w:r>
        <w:t>Type II decompression sickness is a multifocal microvascular brain wound. Inert-gas bubbles produce transient ischemia, endothelial injury, barrier leak, and leukocyte activation. HBOT compresses and dissolves the bubbles (Boyle’s law plus an increased inert-gas gradient) and then applies the same anti-inflammatory and oxygenation program used for carbon monoxide and crush injury.</w:t>
      </w:r>
    </w:p>
    <w:p w14:paraId="2D17BF2C" w14:textId="77777777" w:rsidR="00786C97" w:rsidRDefault="00786C97" w:rsidP="00786C97">
      <w:pPr>
        <w:spacing w:after="160" w:line="276" w:lineRule="auto"/>
        <w:jc w:val="both"/>
      </w:pPr>
      <w:r>
        <w:t>Acute mountain sickness and high-altitude cerebral edema begin as Na/K-ATPase failure and mitochondrial ROS, then proceed to cytotoxic and vasogenic edema and HIF-1α/VEGF barrier leak. Raising tissue PO2 immediately reverses the energy-failure step. Preconditioning studies add HSP70 induction and tight-junction protection.</w:t>
      </w:r>
    </w:p>
    <w:p w14:paraId="030DD3A1" w14:textId="685EC9E4" w:rsidR="00786C97" w:rsidRDefault="00786C97" w:rsidP="00786C97">
      <w:pPr>
        <w:spacing w:after="160" w:line="276" w:lineRule="auto"/>
        <w:jc w:val="both"/>
      </w:pPr>
      <w:r>
        <w:t xml:space="preserve">Diabetic foot ulcers and thermal burns—the approved somatic analogs—share VEGF angiogenesis, stem-cell mobilization, reduced neutrophil adhesion, restored mitochondrial function, and lower </w:t>
      </w:r>
      <w:r w:rsidR="00C26620">
        <w:t xml:space="preserve">           </w:t>
      </w:r>
      <w:r>
        <w:t>TNF-α/IL-6. The brain has a tighter barrier and a higher metabolic rate. The wound-healing program is the same.</w:t>
      </w:r>
    </w:p>
    <w:p w14:paraId="67738C48" w14:textId="77777777" w:rsidR="00FF5853" w:rsidRDefault="00FF5853" w:rsidP="00786C97">
      <w:pPr>
        <w:spacing w:after="160" w:line="276" w:lineRule="auto"/>
        <w:jc w:val="both"/>
      </w:pPr>
    </w:p>
    <w:p w14:paraId="447C7665" w14:textId="77777777" w:rsidR="00786C97" w:rsidRDefault="00786C97" w:rsidP="00786C97">
      <w:pPr>
        <w:pStyle w:val="Heading2"/>
      </w:pPr>
      <w:r>
        <w:t>8. Statement of the Scientific Position</w:t>
      </w:r>
    </w:p>
    <w:p w14:paraId="75D6CF4A" w14:textId="77777777" w:rsidR="00786C97" w:rsidRDefault="00786C97" w:rsidP="00786C97">
      <w:pPr>
        <w:spacing w:after="160" w:line="276" w:lineRule="auto"/>
        <w:jc w:val="both"/>
      </w:pPr>
      <w:r>
        <w:t>The pharmacokinetic event is simple: dissolve enough oxygen to raise brain-tissue PO2 from approximately 30 mm Hg into the hundreds. From that single physical change, delivered intermittently at a defined pressure and session number, follow mitochondrial restart, intracranial-pressure reduction, leukocyte shutdown, HIF/VEGF/Wnt signaling, angiogenesis, neurogenesis, and telomere/senescence effects. That is why the same modality is already on-label for carbon monoxide poisoning, decompression sickness, burns, and diabetic ulcers, and why the physiologic data for other brain wounds are not a different class of evidence. They are the same class applied to a different organ.</w:t>
      </w:r>
    </w:p>
    <w:p w14:paraId="4BEE9E25" w14:textId="7468C4C4" w:rsidR="00786C97" w:rsidRDefault="00786C97" w:rsidP="00FF5853">
      <w:pPr>
        <w:spacing w:after="160" w:line="276" w:lineRule="auto"/>
        <w:jc w:val="both"/>
      </w:pPr>
      <w:r>
        <w:t>What remains a regulatory rather than a biologic question is dose: pressure, oxygen fraction, session number, and timing. Harch’s gene-dose analysis and the Rockswold threshold of brain-tissue PO2 ≥ 200 mm Hg are the appropriate starting points for that discussion. Equating all “oxygen therapy” and all chamber pressures is inconsistent with the pharmacokinetic data already in the neurosurgical literature.</w:t>
      </w:r>
    </w:p>
    <w:p w14:paraId="1C35D686" w14:textId="77777777" w:rsidR="009669D4" w:rsidRDefault="00000000">
      <w:pPr>
        <w:pStyle w:val="Heading1"/>
        <w:pBdr>
          <w:bottom w:val="single" w:sz="8" w:space="4" w:color="1B365D"/>
        </w:pBdr>
      </w:pPr>
      <w:r>
        <w:t>Conclusion: A Wound Is a Wound</w:t>
      </w:r>
    </w:p>
    <w:p w14:paraId="5873876E" w14:textId="77777777" w:rsidR="009669D4" w:rsidRDefault="00000000">
      <w:pPr>
        <w:spacing w:after="160" w:line="276" w:lineRule="auto"/>
        <w:jc w:val="both"/>
      </w:pPr>
      <w:r>
        <w:t>HBOT is already approved for five conditions. In every one of them, the problem is the same: tissue that is damaged and starved of oxygen. And in every one, HBOT does the same things: it floods the tissue with oxygen, restarts the cells’ energy, calms harmful inflammation, and grows new blood vessels.</w:t>
      </w:r>
    </w:p>
    <w:p w14:paraId="631F5C01" w14:textId="77777777" w:rsidR="009669D4" w:rsidRDefault="00000000">
      <w:pPr>
        <w:spacing w:after="120" w:line="276" w:lineRule="auto"/>
        <w:jc w:val="both"/>
      </w:pPr>
      <w:r>
        <w:t>The table below lines up those five approved uses against a brain wound.</w:t>
      </w:r>
    </w:p>
    <w:tbl>
      <w:tblPr>
        <w:tblW w:w="10080" w:type="dxa"/>
        <w:tblBorders>
          <w:top w:val="single" w:sz="4" w:space="0" w:color="9FB3C2"/>
          <w:left w:val="single" w:sz="4" w:space="0" w:color="9FB3C2"/>
          <w:bottom w:val="single" w:sz="4" w:space="0" w:color="9FB3C2"/>
          <w:right w:val="single" w:sz="4" w:space="0" w:color="9FB3C2"/>
          <w:insideH w:val="single" w:sz="4" w:space="0" w:color="9FB3C2"/>
          <w:insideV w:val="single" w:sz="4" w:space="0" w:color="9FB3C2"/>
        </w:tblBorders>
        <w:tblLayout w:type="fixed"/>
        <w:tblCellMar>
          <w:top w:w="80" w:type="dxa"/>
          <w:left w:w="110" w:type="dxa"/>
          <w:bottom w:w="80" w:type="dxa"/>
          <w:right w:w="110" w:type="dxa"/>
        </w:tblCellMar>
        <w:tblLook w:val="04A0" w:firstRow="1" w:lastRow="0" w:firstColumn="1" w:lastColumn="0" w:noHBand="0" w:noVBand="1"/>
      </w:tblPr>
      <w:tblGrid>
        <w:gridCol w:w="2050"/>
        <w:gridCol w:w="2700"/>
        <w:gridCol w:w="2980"/>
        <w:gridCol w:w="2350"/>
      </w:tblGrid>
      <w:tr w:rsidR="009669D4" w14:paraId="6B4464C6" w14:textId="77777777">
        <w:trPr>
          <w:cantSplit/>
          <w:tblHeader/>
        </w:trPr>
        <w:tc>
          <w:tcPr>
            <w:tcW w:w="2050" w:type="dxa"/>
            <w:shd w:val="clear" w:color="auto" w:fill="1B365D"/>
          </w:tcPr>
          <w:p w14:paraId="4519726C" w14:textId="77777777" w:rsidR="009669D4" w:rsidRDefault="00000000">
            <w:pPr>
              <w:spacing w:line="264" w:lineRule="auto"/>
            </w:pPr>
            <w:r>
              <w:rPr>
                <w:b/>
                <w:bCs/>
                <w:color w:val="FFFFFF"/>
              </w:rPr>
              <w:t>Approved use</w:t>
            </w:r>
          </w:p>
        </w:tc>
        <w:tc>
          <w:tcPr>
            <w:tcW w:w="2700" w:type="dxa"/>
            <w:shd w:val="clear" w:color="auto" w:fill="1B365D"/>
          </w:tcPr>
          <w:p w14:paraId="7C476DD3" w14:textId="77777777" w:rsidR="009669D4" w:rsidRDefault="00000000">
            <w:pPr>
              <w:spacing w:line="264" w:lineRule="auto"/>
            </w:pPr>
            <w:r>
              <w:rPr>
                <w:b/>
                <w:bCs/>
                <w:color w:val="FFFFFF"/>
              </w:rPr>
              <w:t>What is wounded</w:t>
            </w:r>
          </w:p>
        </w:tc>
        <w:tc>
          <w:tcPr>
            <w:tcW w:w="2980" w:type="dxa"/>
            <w:shd w:val="clear" w:color="auto" w:fill="1B365D"/>
          </w:tcPr>
          <w:p w14:paraId="5B4D3AA0" w14:textId="77777777" w:rsidR="009669D4" w:rsidRDefault="00000000">
            <w:pPr>
              <w:spacing w:line="264" w:lineRule="auto"/>
            </w:pPr>
            <w:r>
              <w:rPr>
                <w:b/>
                <w:bCs/>
                <w:color w:val="FFFFFF"/>
              </w:rPr>
              <w:t>What HBOT does</w:t>
            </w:r>
          </w:p>
        </w:tc>
        <w:tc>
          <w:tcPr>
            <w:tcW w:w="2350" w:type="dxa"/>
            <w:shd w:val="clear" w:color="auto" w:fill="1B365D"/>
          </w:tcPr>
          <w:p w14:paraId="3CCEF972" w14:textId="77777777" w:rsidR="009669D4" w:rsidRDefault="00000000">
            <w:pPr>
              <w:spacing w:line="264" w:lineRule="auto"/>
            </w:pPr>
            <w:r>
              <w:rPr>
                <w:b/>
                <w:bCs/>
                <w:color w:val="FFFFFF"/>
              </w:rPr>
              <w:t>Same in a brain wound?</w:t>
            </w:r>
          </w:p>
        </w:tc>
      </w:tr>
      <w:tr w:rsidR="009669D4" w14:paraId="0892A5BB" w14:textId="77777777">
        <w:trPr>
          <w:cantSplit/>
        </w:trPr>
        <w:tc>
          <w:tcPr>
            <w:tcW w:w="2050" w:type="dxa"/>
            <w:shd w:val="clear" w:color="auto" w:fill="F3F6F8"/>
          </w:tcPr>
          <w:p w14:paraId="39DB0261" w14:textId="77777777" w:rsidR="009669D4" w:rsidRDefault="00000000">
            <w:pPr>
              <w:spacing w:line="264" w:lineRule="auto"/>
            </w:pPr>
            <w:r>
              <w:rPr>
                <w:b/>
                <w:bCs/>
                <w:color w:val="1B365D"/>
              </w:rPr>
              <w:t>Carbon monoxide poisoning</w:t>
            </w:r>
          </w:p>
        </w:tc>
        <w:tc>
          <w:tcPr>
            <w:tcW w:w="2700" w:type="dxa"/>
            <w:shd w:val="clear" w:color="auto" w:fill="FFFFFF"/>
          </w:tcPr>
          <w:p w14:paraId="21F72639" w14:textId="77777777" w:rsidR="009669D4" w:rsidRDefault="00000000">
            <w:pPr>
              <w:spacing w:line="264" w:lineRule="auto"/>
            </w:pPr>
            <w:r>
              <w:t>Brain and heart cells are poisoned and their energy system shuts down</w:t>
            </w:r>
          </w:p>
        </w:tc>
        <w:tc>
          <w:tcPr>
            <w:tcW w:w="2980" w:type="dxa"/>
            <w:shd w:val="clear" w:color="auto" w:fill="FFFFFF"/>
          </w:tcPr>
          <w:p w14:paraId="21820A29" w14:textId="77777777" w:rsidR="009669D4" w:rsidRDefault="00000000">
            <w:pPr>
              <w:spacing w:line="264" w:lineRule="auto"/>
            </w:pPr>
            <w:r>
              <w:t>Clears the poison faster, restarts cell energy, and stops damaging inflammation</w:t>
            </w:r>
          </w:p>
        </w:tc>
        <w:tc>
          <w:tcPr>
            <w:tcW w:w="2350" w:type="dxa"/>
            <w:shd w:val="clear" w:color="auto" w:fill="FFFFFF"/>
          </w:tcPr>
          <w:p w14:paraId="14CC9C3E" w14:textId="77777777" w:rsidR="009669D4" w:rsidRDefault="00000000">
            <w:pPr>
              <w:spacing w:line="264" w:lineRule="auto"/>
            </w:pPr>
            <w:r>
              <w:rPr>
                <w:b/>
                <w:bCs/>
                <w:color w:val="2E5A6C"/>
              </w:rPr>
              <w:t>Yes</w:t>
            </w:r>
            <w:r>
              <w:t xml:space="preserve"> — the same energy failure and inflammation</w:t>
            </w:r>
          </w:p>
        </w:tc>
      </w:tr>
      <w:tr w:rsidR="009669D4" w14:paraId="6F36717C" w14:textId="77777777">
        <w:trPr>
          <w:cantSplit/>
        </w:trPr>
        <w:tc>
          <w:tcPr>
            <w:tcW w:w="2050" w:type="dxa"/>
            <w:shd w:val="clear" w:color="auto" w:fill="F3F6F8"/>
          </w:tcPr>
          <w:p w14:paraId="7CECBB0A" w14:textId="77777777" w:rsidR="009669D4" w:rsidRDefault="00000000">
            <w:pPr>
              <w:spacing w:line="264" w:lineRule="auto"/>
            </w:pPr>
            <w:r>
              <w:rPr>
                <w:b/>
                <w:bCs/>
                <w:color w:val="1B365D"/>
              </w:rPr>
              <w:t>Decompression sickness</w:t>
            </w:r>
          </w:p>
        </w:tc>
        <w:tc>
          <w:tcPr>
            <w:tcW w:w="2700" w:type="dxa"/>
            <w:shd w:val="clear" w:color="auto" w:fill="FFFFFF"/>
          </w:tcPr>
          <w:p w14:paraId="20D0731C" w14:textId="77777777" w:rsidR="009669D4" w:rsidRDefault="00000000">
            <w:pPr>
              <w:spacing w:line="264" w:lineRule="auto"/>
            </w:pPr>
            <w:r>
              <w:t>Gas bubbles block small blood vessels, including in the brain and spinal cord</w:t>
            </w:r>
          </w:p>
        </w:tc>
        <w:tc>
          <w:tcPr>
            <w:tcW w:w="2980" w:type="dxa"/>
            <w:shd w:val="clear" w:color="auto" w:fill="FFFFFF"/>
          </w:tcPr>
          <w:p w14:paraId="77DCB20A" w14:textId="77777777" w:rsidR="009669D4" w:rsidRDefault="00000000">
            <w:pPr>
              <w:spacing w:line="264" w:lineRule="auto"/>
            </w:pPr>
            <w:r>
              <w:t>Shrinks the bubbles, floods starved tissue with oxygen, and reduces vessel damage</w:t>
            </w:r>
          </w:p>
        </w:tc>
        <w:tc>
          <w:tcPr>
            <w:tcW w:w="2350" w:type="dxa"/>
            <w:shd w:val="clear" w:color="auto" w:fill="FFFFFF"/>
          </w:tcPr>
          <w:p w14:paraId="68A724AA" w14:textId="77777777" w:rsidR="009669D4" w:rsidRDefault="00000000">
            <w:pPr>
              <w:spacing w:line="264" w:lineRule="auto"/>
            </w:pPr>
            <w:r>
              <w:rPr>
                <w:b/>
                <w:bCs/>
                <w:color w:val="2E5A6C"/>
              </w:rPr>
              <w:t>Yes</w:t>
            </w:r>
            <w:r>
              <w:t xml:space="preserve"> — the same starved, leaky small vessels</w:t>
            </w:r>
          </w:p>
        </w:tc>
      </w:tr>
      <w:tr w:rsidR="009669D4" w14:paraId="65251972" w14:textId="77777777">
        <w:trPr>
          <w:cantSplit/>
        </w:trPr>
        <w:tc>
          <w:tcPr>
            <w:tcW w:w="2050" w:type="dxa"/>
            <w:shd w:val="clear" w:color="auto" w:fill="F3F6F8"/>
          </w:tcPr>
          <w:p w14:paraId="16AC9930" w14:textId="77777777" w:rsidR="009669D4" w:rsidRDefault="00000000">
            <w:pPr>
              <w:spacing w:line="264" w:lineRule="auto"/>
            </w:pPr>
            <w:r>
              <w:rPr>
                <w:b/>
                <w:bCs/>
                <w:color w:val="1B365D"/>
              </w:rPr>
              <w:t>Arterial gas embolism</w:t>
            </w:r>
          </w:p>
        </w:tc>
        <w:tc>
          <w:tcPr>
            <w:tcW w:w="2700" w:type="dxa"/>
            <w:shd w:val="clear" w:color="auto" w:fill="FFFFFF"/>
          </w:tcPr>
          <w:p w14:paraId="767D72B8" w14:textId="77777777" w:rsidR="009669D4" w:rsidRDefault="00000000">
            <w:pPr>
              <w:spacing w:line="264" w:lineRule="auto"/>
            </w:pPr>
            <w:r>
              <w:t>An air bubble blocks blood flow, often to the brain</w:t>
            </w:r>
          </w:p>
        </w:tc>
        <w:tc>
          <w:tcPr>
            <w:tcW w:w="2980" w:type="dxa"/>
            <w:shd w:val="clear" w:color="auto" w:fill="FFFFFF"/>
          </w:tcPr>
          <w:p w14:paraId="45A6E418" w14:textId="77777777" w:rsidR="009669D4" w:rsidRDefault="00000000">
            <w:pPr>
              <w:spacing w:line="264" w:lineRule="auto"/>
            </w:pPr>
            <w:r>
              <w:t>Shrinks the bubble and restores oxygen to the tissue</w:t>
            </w:r>
          </w:p>
        </w:tc>
        <w:tc>
          <w:tcPr>
            <w:tcW w:w="2350" w:type="dxa"/>
            <w:shd w:val="clear" w:color="auto" w:fill="FFFFFF"/>
          </w:tcPr>
          <w:p w14:paraId="2E89523F" w14:textId="77777777" w:rsidR="009669D4" w:rsidRDefault="00000000">
            <w:pPr>
              <w:spacing w:line="264" w:lineRule="auto"/>
            </w:pPr>
            <w:r>
              <w:rPr>
                <w:b/>
                <w:bCs/>
                <w:color w:val="2E5A6C"/>
              </w:rPr>
              <w:t>Yes</w:t>
            </w:r>
            <w:r>
              <w:t xml:space="preserve"> — it is a brain wound by definition</w:t>
            </w:r>
          </w:p>
        </w:tc>
      </w:tr>
      <w:tr w:rsidR="009669D4" w14:paraId="5D7F344E" w14:textId="77777777">
        <w:trPr>
          <w:cantSplit/>
        </w:trPr>
        <w:tc>
          <w:tcPr>
            <w:tcW w:w="2050" w:type="dxa"/>
            <w:shd w:val="clear" w:color="auto" w:fill="F3F6F8"/>
          </w:tcPr>
          <w:p w14:paraId="5B4E0D18" w14:textId="77777777" w:rsidR="009669D4" w:rsidRDefault="00000000">
            <w:pPr>
              <w:spacing w:line="264" w:lineRule="auto"/>
            </w:pPr>
            <w:r>
              <w:rPr>
                <w:b/>
                <w:bCs/>
                <w:color w:val="1B365D"/>
              </w:rPr>
              <w:t>Thermal burns</w:t>
            </w:r>
          </w:p>
        </w:tc>
        <w:tc>
          <w:tcPr>
            <w:tcW w:w="2700" w:type="dxa"/>
            <w:shd w:val="clear" w:color="auto" w:fill="FFFFFF"/>
          </w:tcPr>
          <w:p w14:paraId="5C593406" w14:textId="77777777" w:rsidR="009669D4" w:rsidRDefault="00000000">
            <w:pPr>
              <w:spacing w:line="264" w:lineRule="auto"/>
            </w:pPr>
            <w:r>
              <w:t>Skin and deeper tissue are damaged and lose their blood supply</w:t>
            </w:r>
          </w:p>
        </w:tc>
        <w:tc>
          <w:tcPr>
            <w:tcW w:w="2980" w:type="dxa"/>
            <w:shd w:val="clear" w:color="auto" w:fill="FFFFFF"/>
          </w:tcPr>
          <w:p w14:paraId="652DB001" w14:textId="77777777" w:rsidR="009669D4" w:rsidRDefault="00000000">
            <w:pPr>
              <w:spacing w:line="264" w:lineRule="auto"/>
            </w:pPr>
            <w:r>
              <w:t>Grows new blood vessels and reduces swelling and inflammation</w:t>
            </w:r>
          </w:p>
        </w:tc>
        <w:tc>
          <w:tcPr>
            <w:tcW w:w="2350" w:type="dxa"/>
            <w:shd w:val="clear" w:color="auto" w:fill="FFFFFF"/>
          </w:tcPr>
          <w:p w14:paraId="24C610CC" w14:textId="77777777" w:rsidR="009669D4" w:rsidRDefault="00000000">
            <w:pPr>
              <w:spacing w:line="264" w:lineRule="auto"/>
            </w:pPr>
            <w:r>
              <w:rPr>
                <w:b/>
                <w:bCs/>
                <w:color w:val="2E5A6C"/>
              </w:rPr>
              <w:t>Yes</w:t>
            </w:r>
            <w:r>
              <w:t xml:space="preserve"> — the same blood-vessel regrowth</w:t>
            </w:r>
          </w:p>
        </w:tc>
      </w:tr>
      <w:tr w:rsidR="009669D4" w14:paraId="63DEAA67" w14:textId="77777777">
        <w:trPr>
          <w:cantSplit/>
        </w:trPr>
        <w:tc>
          <w:tcPr>
            <w:tcW w:w="2050" w:type="dxa"/>
            <w:shd w:val="clear" w:color="auto" w:fill="F3F6F8"/>
          </w:tcPr>
          <w:p w14:paraId="74067823" w14:textId="77777777" w:rsidR="009669D4" w:rsidRDefault="00000000">
            <w:pPr>
              <w:spacing w:line="264" w:lineRule="auto"/>
            </w:pPr>
            <w:r>
              <w:rPr>
                <w:b/>
                <w:bCs/>
                <w:color w:val="1B365D"/>
              </w:rPr>
              <w:t>Diabetic foot ulcers</w:t>
            </w:r>
          </w:p>
        </w:tc>
        <w:tc>
          <w:tcPr>
            <w:tcW w:w="2700" w:type="dxa"/>
            <w:shd w:val="clear" w:color="auto" w:fill="FFFFFF"/>
          </w:tcPr>
          <w:p w14:paraId="373BD4D2" w14:textId="77777777" w:rsidR="009669D4" w:rsidRDefault="00000000">
            <w:pPr>
              <w:spacing w:line="264" w:lineRule="auto"/>
            </w:pPr>
            <w:r>
              <w:t>A wound that will not close because blood supply is poor</w:t>
            </w:r>
          </w:p>
        </w:tc>
        <w:tc>
          <w:tcPr>
            <w:tcW w:w="2980" w:type="dxa"/>
            <w:shd w:val="clear" w:color="auto" w:fill="FFFFFF"/>
          </w:tcPr>
          <w:p w14:paraId="0D604ABE" w14:textId="77777777" w:rsidR="009669D4" w:rsidRDefault="00000000">
            <w:pPr>
              <w:spacing w:line="264" w:lineRule="auto"/>
            </w:pPr>
            <w:r>
              <w:t>Grows new blood vessels, calls in repair (stem) cells, and lowers inflammation</w:t>
            </w:r>
          </w:p>
        </w:tc>
        <w:tc>
          <w:tcPr>
            <w:tcW w:w="2350" w:type="dxa"/>
            <w:shd w:val="clear" w:color="auto" w:fill="FFFFFF"/>
          </w:tcPr>
          <w:p w14:paraId="42201551" w14:textId="77777777" w:rsidR="009669D4" w:rsidRDefault="00000000">
            <w:pPr>
              <w:spacing w:line="264" w:lineRule="auto"/>
            </w:pPr>
            <w:r>
              <w:rPr>
                <w:b/>
                <w:bCs/>
                <w:color w:val="2E5A6C"/>
              </w:rPr>
              <w:t>Yes</w:t>
            </w:r>
            <w:r>
              <w:t xml:space="preserve"> — the same stem-cell and vessel repair</w:t>
            </w:r>
          </w:p>
        </w:tc>
      </w:tr>
    </w:tbl>
    <w:p w14:paraId="703C136C" w14:textId="77777777" w:rsidR="009669D4" w:rsidRDefault="009669D4">
      <w:pPr>
        <w:spacing w:after="160" w:line="276" w:lineRule="auto"/>
        <w:jc w:val="both"/>
      </w:pPr>
    </w:p>
    <w:p w14:paraId="4BC2068D" w14:textId="77777777" w:rsidR="009669D4" w:rsidRDefault="00000000">
      <w:pPr>
        <w:spacing w:after="160" w:line="276" w:lineRule="auto"/>
        <w:jc w:val="both"/>
      </w:pPr>
      <w:r>
        <w:lastRenderedPageBreak/>
        <w:t>Three of these five conditions already injure the brain directly, and HBOT is approved to treat them. The other two are visible wounds, and the healing steps HBOT triggers in them are the same steps scientists have measured in injured brain tissue.</w:t>
      </w:r>
    </w:p>
    <w:p w14:paraId="6D8233D9" w14:textId="77777777" w:rsidR="009669D4" w:rsidRDefault="00000000">
      <w:pPr>
        <w:spacing w:after="160" w:line="276" w:lineRule="auto"/>
        <w:jc w:val="both"/>
      </w:pPr>
      <w:r>
        <w:t>So what changes when the brain injury comes from a blast, a blow to the head, or a stroke? Only the cause. The damaged tissue is starved of oxygen in the same way, and it responds to HBOT in the same way. The brain has a tighter protective barrier and uses more energy than other organs, but the repair process is the same.</w:t>
      </w:r>
    </w:p>
    <w:p w14:paraId="370C09DD" w14:textId="725BE3F5" w:rsidR="009669D4" w:rsidRDefault="00000000">
      <w:pPr>
        <w:spacing w:after="160" w:line="276" w:lineRule="auto"/>
        <w:jc w:val="both"/>
      </w:pPr>
      <w:r>
        <w:rPr>
          <w:b/>
          <w:bCs/>
          <w:color w:val="1B365D"/>
        </w:rPr>
        <w:t xml:space="preserve">The conclusion follows directly. </w:t>
      </w:r>
      <w:r>
        <w:t xml:space="preserve">HBOT for a brain wound is little different from HBOT for a visible wound. Because the tissue problem, the treatment, and the healing response all match five indications already on label, HBOT for brain wounds is likely already </w:t>
      </w:r>
      <w:proofErr w:type="gramStart"/>
      <w:r>
        <w:t>on-label</w:t>
      </w:r>
      <w:proofErr w:type="gramEnd"/>
      <w:r>
        <w:t xml:space="preserve"> by association with them. Treating it as an unproven, off-label use holds the brain to a standard that no other wound is held to.</w:t>
      </w:r>
    </w:p>
    <w:p w14:paraId="63E32AD7" w14:textId="77777777" w:rsidR="009669D4" w:rsidRDefault="00000000">
      <w:pPr>
        <w:spacing w:after="160" w:line="276" w:lineRule="auto"/>
        <w:jc w:val="both"/>
      </w:pPr>
      <w:r>
        <w:t>What remains to be settled is the dose, not whether HBOT works: the pressure, the oxygen level, the number of sessions, and the timing. The research already gives the starting points — raising brain oxygen to at least about 200 mm Hg (Rockswold) and giving 40 to 60 sessions for long-standing injuries (Harch; Efrati).</w:t>
      </w:r>
    </w:p>
    <w:p w14:paraId="1CEF65DB" w14:textId="7423BEDB" w:rsidR="009669D4" w:rsidRDefault="00000000">
      <w:pPr>
        <w:spacing w:after="280" w:line="276" w:lineRule="auto"/>
        <w:jc w:val="both"/>
      </w:pPr>
      <w:r>
        <w:t>Veterans, first responders, survivors of domestic violence</w:t>
      </w:r>
      <w:r w:rsidR="00FF5853">
        <w:t>, victims of assault, stroke, or falls</w:t>
      </w:r>
      <w:r>
        <w:t xml:space="preserve"> who carry brain wounds should have the same access to HBOT as a patient with a burn or a diabetic foot ulcer.</w:t>
      </w:r>
    </w:p>
    <w:p w14:paraId="27233DAE" w14:textId="77777777" w:rsidR="001A4A23" w:rsidRDefault="00000000">
      <w:pPr>
        <w:pStyle w:val="Heading1"/>
        <w:pageBreakBefore/>
        <w:pBdr>
          <w:bottom w:val="single" w:sz="8" w:space="4" w:color="1B365D"/>
        </w:pBdr>
      </w:pPr>
      <w:r>
        <w:lastRenderedPageBreak/>
        <w:t>Part II. Annotated Bibliography</w:t>
      </w:r>
    </w:p>
    <w:p w14:paraId="0E01FBC1" w14:textId="77777777" w:rsidR="001A4A23" w:rsidRDefault="00000000">
      <w:pPr>
        <w:spacing w:after="160" w:line="276" w:lineRule="auto"/>
        <w:jc w:val="both"/>
      </w:pPr>
      <w:r>
        <w:t>References are grouped by the level of evidence they supply: dissolved-oxygen pharmacokinetics and human cerebral metabolism; mitochondrial rescue; leukocyte and vascular wound biology; regenerative and gene-level repair with imaging corroboration; senolytic effects; and condition-specific analogs already on the UHMS-accepted indication list.</w:t>
      </w:r>
    </w:p>
    <w:p w14:paraId="7D23CFC9" w14:textId="77777777" w:rsidR="001A4A23" w:rsidRDefault="00000000">
      <w:pPr>
        <w:pStyle w:val="Heading2"/>
      </w:pPr>
      <w:r>
        <w:t>A. Pharmacokinetics and Tissue Oxygenation</w:t>
      </w:r>
    </w:p>
    <w:p w14:paraId="61E74675" w14:textId="77777777" w:rsidR="001A4A23" w:rsidRDefault="00000000">
      <w:pPr>
        <w:spacing w:before="140" w:after="40"/>
        <w:ind w:left="720" w:hanging="720"/>
      </w:pPr>
      <w:r>
        <w:rPr>
          <w:sz w:val="20"/>
          <w:szCs w:val="20"/>
        </w:rPr>
        <w:t>1.  Rockswold SB, Rockswold GL, Zaun DA, Liu X. A prospective, randomized clinical trial to compare the effect of hyperbaric to normobaric hyperoxia on cerebral metabolism, intracranial pressure, and oxygen toxicity in severe traumatic brain injury. J Neurosurg. 2010;112(5):1080-94. PMID: 19852540. DOI: 10.3171/2009.7.JNS09363.</w:t>
      </w:r>
    </w:p>
    <w:p w14:paraId="0086DAD6" w14:textId="77777777" w:rsidR="001A4A23" w:rsidRDefault="00000000">
      <w:pPr>
        <w:spacing w:after="80"/>
        <w:ind w:left="720"/>
      </w:pPr>
      <w:r>
        <w:rPr>
          <w:i/>
          <w:iCs/>
          <w:color w:val="333333"/>
          <w:sz w:val="18"/>
          <w:szCs w:val="18"/>
        </w:rPr>
        <w:t>Human Licox and microdialysis trial. HBO2 at 1.5 ATA raised brain-tissue PO2 well above 200 mm Hg, increased CBF and CMRO2 for six hours after the session, and lowered microdialysate lactate and the lactate/pyruvate ratio. Normobaric 100% oxygen did not reproduce this post-treatment metabolic effect. Establishes the pharmacokinetic threshold for oxidative-metabolic rescue in the wounded human brain.</w:t>
      </w:r>
    </w:p>
    <w:p w14:paraId="5085FF89" w14:textId="77777777" w:rsidR="001A4A23" w:rsidRDefault="00000000">
      <w:pPr>
        <w:spacing w:before="140" w:after="40"/>
        <w:ind w:left="720" w:hanging="720"/>
      </w:pPr>
      <w:r>
        <w:rPr>
          <w:sz w:val="20"/>
          <w:szCs w:val="20"/>
        </w:rPr>
        <w:t>2.  Rockswold SB, Rockswold GL, Zaun DA, Liu J. A prospective, randomized Phase II clinical trial to evaluate the effect of combined hyperbaric and normobaric hyperoxia on cerebral metabolism, intracranial pressure, oxygen toxicity, and clinical outcome in severe traumatic brain injury. J Neurosurg. 2013;118(6):1317-28. PMID: 23510092. DOI: 10.3171/2013.2.JNS121468.</w:t>
      </w:r>
    </w:p>
    <w:p w14:paraId="3FA902A9" w14:textId="77777777" w:rsidR="001A4A23" w:rsidRDefault="00000000">
      <w:pPr>
        <w:spacing w:after="80"/>
        <w:ind w:left="720"/>
      </w:pPr>
      <w:r>
        <w:rPr>
          <w:i/>
          <w:iCs/>
          <w:color w:val="333333"/>
          <w:sz w:val="18"/>
          <w:szCs w:val="18"/>
        </w:rPr>
        <w:t>Combined 1.5 ATA HBO2 plus subsequent normobaric hyperoxia. Pericontusional and relatively uninjured brain PO2 rose to approximately 600% of control. Intracranial hypertension fell. Absolute mortality reduction 26%; favorable sliding-dichotomized GOS improved 36%. The strongest available human pharmacokinetic-plus-outcome dataset in acute brain wound.</w:t>
      </w:r>
    </w:p>
    <w:p w14:paraId="51D7F52B" w14:textId="77777777" w:rsidR="001A4A23" w:rsidRDefault="00000000">
      <w:pPr>
        <w:spacing w:before="140" w:after="40"/>
        <w:ind w:left="720" w:hanging="720"/>
      </w:pPr>
      <w:r>
        <w:rPr>
          <w:sz w:val="20"/>
          <w:szCs w:val="20"/>
        </w:rPr>
        <w:t>3.  Huang L, Obenaus A. Hyperbaric oxygen therapy for traumatic brain injury. Med Gas Res. 2011;1:21. PMID: 22146562. DOI: 10.1186/2045-9912-1-21.</w:t>
      </w:r>
    </w:p>
    <w:p w14:paraId="64E5626A" w14:textId="77777777" w:rsidR="001A4A23" w:rsidRDefault="00000000">
      <w:pPr>
        <w:spacing w:after="80"/>
        <w:ind w:left="720"/>
      </w:pPr>
      <w:r>
        <w:rPr>
          <w:i/>
          <w:iCs/>
          <w:color w:val="333333"/>
          <w:sz w:val="18"/>
          <w:szCs w:val="18"/>
        </w:rPr>
        <w:t>Mechanism review integrating dissolved-oxygen delivery, ICP reduction, anti-apoptosis, anti-inflammation, angiogenesis, and neurogenesis as complementary rather than competing actions.</w:t>
      </w:r>
    </w:p>
    <w:p w14:paraId="4EFD56A5" w14:textId="77777777" w:rsidR="001A4A23" w:rsidRDefault="00000000">
      <w:pPr>
        <w:spacing w:before="140" w:after="40"/>
        <w:ind w:left="720" w:hanging="720"/>
      </w:pPr>
      <w:r>
        <w:rPr>
          <w:sz w:val="20"/>
          <w:szCs w:val="20"/>
        </w:rPr>
        <w:t>4.  Daly S, Thorpe M, Rockswold S, et al. Hyperbaric oxygen therapy in the treatment of acute severe traumatic brain injury: a systematic review. J Neurotrauma. 2018;35(4):623-9. PMID: 29132229. PMCID: PMC6909681.</w:t>
      </w:r>
    </w:p>
    <w:p w14:paraId="67F1E57C" w14:textId="77777777" w:rsidR="001A4A23" w:rsidRDefault="00000000">
      <w:pPr>
        <w:spacing w:after="80"/>
        <w:ind w:left="720"/>
      </w:pPr>
      <w:r>
        <w:rPr>
          <w:i/>
          <w:iCs/>
          <w:color w:val="333333"/>
          <w:sz w:val="18"/>
          <w:szCs w:val="18"/>
        </w:rPr>
        <w:t>Collects the Rockswold physiologic endpoints (PbtO2, CMRO2, CBF, ICP, lactate/pyruvate) across the acute severe-TBI literature.</w:t>
      </w:r>
    </w:p>
    <w:p w14:paraId="45FDB551" w14:textId="77777777" w:rsidR="001A4A23" w:rsidRDefault="00000000">
      <w:pPr>
        <w:pStyle w:val="Heading2"/>
      </w:pPr>
      <w:r>
        <w:t>B. Mitochondrial Rescue</w:t>
      </w:r>
    </w:p>
    <w:p w14:paraId="3121B427" w14:textId="77777777" w:rsidR="001A4A23" w:rsidRDefault="00000000">
      <w:pPr>
        <w:spacing w:before="140" w:after="40"/>
        <w:ind w:left="720" w:hanging="720"/>
      </w:pPr>
      <w:r>
        <w:rPr>
          <w:sz w:val="20"/>
          <w:szCs w:val="20"/>
        </w:rPr>
        <w:t>5.  Brown SD, Piantadosi CA. Reversal of carbon monoxide-cytochrome c oxidase binding by hyperbaric oxygen in vivo. Adv Exp Med Biol. 1989;248:747-54. PMID: 2551142. DOI: 10.1007/978-1-4684-5643-1_84.</w:t>
      </w:r>
    </w:p>
    <w:p w14:paraId="7508F9D5" w14:textId="77777777" w:rsidR="001A4A23" w:rsidRDefault="00000000">
      <w:pPr>
        <w:spacing w:after="80"/>
        <w:ind w:left="720"/>
      </w:pPr>
      <w:r>
        <w:rPr>
          <w:i/>
          <w:iCs/>
          <w:color w:val="333333"/>
          <w:sz w:val="18"/>
          <w:szCs w:val="18"/>
        </w:rPr>
        <w:t>In vivo cortical spectrophotometry. Carbon monoxide binds reduced cytochrome a3 in circulating rat cortex; 3 ATA oxygen reoxidizes the oxidase while carboxyhemoglobin remains elevated. Direct proof that HBOT is not merely a COHb-clearance intervention.</w:t>
      </w:r>
    </w:p>
    <w:p w14:paraId="74654D06" w14:textId="77777777" w:rsidR="001A4A23" w:rsidRDefault="00000000">
      <w:pPr>
        <w:spacing w:before="140" w:after="40"/>
        <w:ind w:left="720" w:hanging="720"/>
      </w:pPr>
      <w:r>
        <w:rPr>
          <w:sz w:val="20"/>
          <w:szCs w:val="20"/>
        </w:rPr>
        <w:t>6.  Schottlender N, Gottfried I, Ashery U. Hyperbaric oxygen treatment: effects on mitochondrial function and oxidative stress. Biomolecules. 2021;11(12):1827. PMID: 34944469. DOI: 10.3390/biom11121827.</w:t>
      </w:r>
    </w:p>
    <w:p w14:paraId="6D48C7B4" w14:textId="77777777" w:rsidR="001A4A23" w:rsidRDefault="00000000">
      <w:pPr>
        <w:spacing w:after="80"/>
        <w:ind w:left="720"/>
      </w:pPr>
      <w:r>
        <w:rPr>
          <w:i/>
          <w:iCs/>
          <w:color w:val="333333"/>
          <w:sz w:val="18"/>
          <w:szCs w:val="18"/>
        </w:rPr>
        <w:t>Protocol-dependent mitochondrial pharmacology. Brief exposure can transiently raise ROS; repeated sessions increase ATP production, mitochondrial biogenesis, and antioxidant defenses and lower net oxidative stress. Central reference for the neuro-mitochondrial-deficiency framing of AMS, CO, and chronic TBI.</w:t>
      </w:r>
    </w:p>
    <w:p w14:paraId="1C222D38" w14:textId="77777777" w:rsidR="001A4A23" w:rsidRDefault="00000000">
      <w:pPr>
        <w:spacing w:before="140" w:after="40"/>
        <w:ind w:left="720" w:hanging="720"/>
      </w:pPr>
      <w:r>
        <w:rPr>
          <w:sz w:val="20"/>
          <w:szCs w:val="20"/>
        </w:rPr>
        <w:t>7.  Gottfried I, Schottlender N, Ashery U. Hyperbaric oxygen treatment—from mechanisms to cognitive improvement. Biomolecules. 2021;11(10):1520. PMID: 34680155. DOI: 10.3390/biom11101520.</w:t>
      </w:r>
    </w:p>
    <w:p w14:paraId="662D7550" w14:textId="77777777" w:rsidR="001A4A23" w:rsidRDefault="00000000">
      <w:pPr>
        <w:spacing w:after="80"/>
        <w:ind w:left="720"/>
      </w:pPr>
      <w:r>
        <w:rPr>
          <w:i/>
          <w:iCs/>
          <w:color w:val="333333"/>
          <w:sz w:val="18"/>
          <w:szCs w:val="18"/>
        </w:rPr>
        <w:t>Maps the hyperoxic-hypoxic paradox (HIF-1α plus Nrf2), SIRT1, Wnt-3, VEGF/ERK, astrocyte-to-neuron mitochondrial transfer, and humanin onto cognitive recovery. Best single review linking molecules to function.</w:t>
      </w:r>
    </w:p>
    <w:p w14:paraId="78FA7233" w14:textId="77777777" w:rsidR="001A4A23" w:rsidRDefault="00000000">
      <w:pPr>
        <w:spacing w:before="140" w:after="40"/>
        <w:ind w:left="720" w:hanging="720"/>
      </w:pPr>
      <w:r>
        <w:rPr>
          <w:sz w:val="20"/>
          <w:szCs w:val="20"/>
        </w:rPr>
        <w:t>8.  Bin-Alamer O, Abou-Al-Shaar H, Efrati S, Hadanny A, Beckman RL, Elamir M, Sussman E, Maroon JC. Hyperbaric oxygen therapy as a neuromodulatory technique: a review of the recent evidence. Front Neurol. 2024;15:1450134. PMID: 39445195. DOI: 10.3389/fneur.2024.1450134.</w:t>
      </w:r>
    </w:p>
    <w:p w14:paraId="3AFBFD32" w14:textId="77777777" w:rsidR="001A4A23" w:rsidRDefault="00000000">
      <w:pPr>
        <w:spacing w:after="80"/>
        <w:ind w:left="720"/>
      </w:pPr>
      <w:r>
        <w:rPr>
          <w:i/>
          <w:iCs/>
          <w:color w:val="333333"/>
          <w:sz w:val="18"/>
          <w:szCs w:val="18"/>
        </w:rPr>
        <w:lastRenderedPageBreak/>
        <w:t>Current molecular inventory: Bcl-2 up, Bax down, ATP up, mitochondrial transfer, Wnt-3, VEGF/ERK, GAP-43, synaptophysin, TNF-α/IL-6 down, telomere elongation, BDNF.</w:t>
      </w:r>
    </w:p>
    <w:p w14:paraId="702D4BF1" w14:textId="77777777" w:rsidR="001A4A23" w:rsidRDefault="00000000">
      <w:pPr>
        <w:spacing w:before="140" w:after="40"/>
        <w:ind w:left="720" w:hanging="720"/>
      </w:pPr>
      <w:r>
        <w:rPr>
          <w:sz w:val="20"/>
          <w:szCs w:val="20"/>
        </w:rPr>
        <w:t>9.  Fischer I, Barak B. Molecular and therapeutic aspects of hyperbaric oxygen therapy in neurological conditions. Biomolecules. 2020;10(9):1247. PMID: 32872504. DOI: 10.3390/biom10091247.</w:t>
      </w:r>
    </w:p>
    <w:p w14:paraId="14C74228" w14:textId="77777777" w:rsidR="001A4A23" w:rsidRDefault="00000000">
      <w:pPr>
        <w:spacing w:after="80"/>
        <w:ind w:left="720"/>
      </w:pPr>
      <w:r>
        <w:rPr>
          <w:i/>
          <w:iCs/>
          <w:color w:val="333333"/>
          <w:sz w:val="18"/>
          <w:szCs w:val="18"/>
        </w:rPr>
        <w:t>Integrates mitochondrial membrane integrity, white-matter change, neuroinflammation, oxidative stress, and cerebral blood flow into one neurobiological framework.</w:t>
      </w:r>
    </w:p>
    <w:p w14:paraId="3B41B7B2" w14:textId="77777777" w:rsidR="001A4A23" w:rsidRDefault="00000000">
      <w:pPr>
        <w:pStyle w:val="Heading2"/>
      </w:pPr>
      <w:r>
        <w:t>C. Leukocyte and Vascular Wound Biology</w:t>
      </w:r>
    </w:p>
    <w:p w14:paraId="63310639" w14:textId="77777777" w:rsidR="001A4A23" w:rsidRDefault="00000000">
      <w:pPr>
        <w:spacing w:before="140" w:after="40"/>
        <w:ind w:left="720" w:hanging="720"/>
      </w:pPr>
      <w:r>
        <w:rPr>
          <w:sz w:val="20"/>
          <w:szCs w:val="20"/>
        </w:rPr>
        <w:t>10.  Thom SR, Mendiguren I, Hardy K, Bolotin T, Fisher D, Nebolon M, Kilpatrick L. Inhibition of human neutrophil beta2-integrin-dependent adherence by hyperbaric O2. Am J Physiol. 1997;272(3 Pt 1):C770-7. PMID: 9124510. DOI: 10.1152/ajpcell.1997.272.3.C770.</w:t>
      </w:r>
    </w:p>
    <w:p w14:paraId="6AC89B63" w14:textId="77777777" w:rsidR="001A4A23" w:rsidRDefault="00000000">
      <w:pPr>
        <w:spacing w:after="80"/>
        <w:ind w:left="720"/>
      </w:pPr>
      <w:r>
        <w:rPr>
          <w:i/>
          <w:iCs/>
          <w:color w:val="333333"/>
          <w:sz w:val="18"/>
          <w:szCs w:val="18"/>
        </w:rPr>
        <w:t>Human volunteer exposure at 2.8–3.0 ATA for 45 minutes inhibits β2-integrin-dependent neutrophil adherence via impaired cGMP synthesis, without reducing surface CD18. The molecular basis for HBOT interruption of leukocyte-mediated secondary brain injury.</w:t>
      </w:r>
    </w:p>
    <w:p w14:paraId="2CFE0746" w14:textId="77777777" w:rsidR="001A4A23" w:rsidRDefault="00000000">
      <w:pPr>
        <w:spacing w:before="140" w:after="40"/>
        <w:ind w:left="720" w:hanging="720"/>
      </w:pPr>
      <w:r>
        <w:rPr>
          <w:sz w:val="20"/>
          <w:szCs w:val="20"/>
        </w:rPr>
        <w:t>11.  Thom SR, Bhopale VM, Mancini DJ, Milovanova TN. Actin S-nitrosylation inhibits neutrophil beta2 integrin function. J Biol Chem. 2008;283(16):10822-34. PMID: 18285335. DOI: 10.1074/jbc.M709044200.</w:t>
      </w:r>
    </w:p>
    <w:p w14:paraId="2869C7E5" w14:textId="77777777" w:rsidR="001A4A23" w:rsidRDefault="00000000">
      <w:pPr>
        <w:spacing w:after="80"/>
        <w:ind w:left="720"/>
      </w:pPr>
      <w:r>
        <w:rPr>
          <w:i/>
          <w:iCs/>
          <w:color w:val="333333"/>
          <w:sz w:val="18"/>
          <w:szCs w:val="18"/>
        </w:rPr>
        <w:t>Follow-on mechanism: hyperoxia drives NOS/MPO-dependent S-nitrosylation of C-terminal actin cysteines, short filament formation, and failed integrin clustering.</w:t>
      </w:r>
    </w:p>
    <w:p w14:paraId="7D267042" w14:textId="77777777" w:rsidR="001A4A23" w:rsidRDefault="00000000">
      <w:pPr>
        <w:spacing w:before="140" w:after="40"/>
        <w:ind w:left="720" w:hanging="720"/>
      </w:pPr>
      <w:r>
        <w:rPr>
          <w:sz w:val="20"/>
          <w:szCs w:val="20"/>
        </w:rPr>
        <w:t>12.  Weaver LK, Hopkins RO, Chan KJ, Churchill S, Elliott CG, Clemmer TP, Orme JF Jr, Thomas FO, Morris AH. Hyperbaric oxygen for acute carbon monoxide poisoning. N Engl J Med. 2002;347(14):1057-67. PMID: 12362006. DOI: 10.1056/NEJMoa013121.</w:t>
      </w:r>
    </w:p>
    <w:p w14:paraId="46AD8C89" w14:textId="77777777" w:rsidR="001A4A23" w:rsidRDefault="00000000">
      <w:pPr>
        <w:spacing w:after="80"/>
        <w:ind w:left="720"/>
      </w:pPr>
      <w:r>
        <w:rPr>
          <w:i/>
          <w:iCs/>
          <w:color w:val="333333"/>
          <w:sz w:val="18"/>
          <w:szCs w:val="18"/>
        </w:rPr>
        <w:t>Double-blind RCT. Three HBO2 sessions within 24 hours reduced six-week cognitive sequelae from 46.1% to 25.0% (adjusted OR 0.45). The on-label clinical counterpart of the Thom and Brown-Piantadosi mechanisms. Primary regulatory analog for other brain wounds.</w:t>
      </w:r>
    </w:p>
    <w:p w14:paraId="0AF547A7" w14:textId="77777777" w:rsidR="001A4A23" w:rsidRDefault="00000000">
      <w:pPr>
        <w:spacing w:before="140" w:after="40"/>
        <w:ind w:left="720" w:hanging="720"/>
      </w:pPr>
      <w:r>
        <w:rPr>
          <w:sz w:val="20"/>
          <w:szCs w:val="20"/>
        </w:rPr>
        <w:t>13.  Sethuraman K, Thom SR. Hyperbaric oxygen should be used for carbon monoxide poisoning. Br J Clin Pharmacol. 2023;89(4):1316-21. PMID: 36464919. DOI: 10.1111/bcp.15605.</w:t>
      </w:r>
    </w:p>
    <w:p w14:paraId="7ECA8A03" w14:textId="77777777" w:rsidR="001A4A23" w:rsidRDefault="00000000">
      <w:pPr>
        <w:spacing w:after="80"/>
        <w:ind w:left="720"/>
      </w:pPr>
      <w:r>
        <w:rPr>
          <w:i/>
          <w:iCs/>
          <w:color w:val="333333"/>
          <w:sz w:val="18"/>
          <w:szCs w:val="18"/>
        </w:rPr>
        <w:t>Modern synthesis: HBOT simultaneously accelerates CO off-loading from heme proteins, restores cytochrome oxidase, and arrests β2-integrin-dependent neuroinflammation at doses above 2.0 ATA. Makes the dose argument that normobaric oxygen is not a pharmacologic equivalent.</w:t>
      </w:r>
    </w:p>
    <w:p w14:paraId="3B1D85B5" w14:textId="77777777" w:rsidR="001A4A23" w:rsidRDefault="00000000">
      <w:pPr>
        <w:pStyle w:val="Heading2"/>
      </w:pPr>
      <w:r>
        <w:t>D. Regenerative and Gene-Level Repair, with Imaging</w:t>
      </w:r>
    </w:p>
    <w:p w14:paraId="769F4AE4" w14:textId="77777777" w:rsidR="001A4A23" w:rsidRDefault="00000000">
      <w:pPr>
        <w:spacing w:before="140" w:after="40"/>
        <w:ind w:left="720" w:hanging="720"/>
      </w:pPr>
      <w:r>
        <w:rPr>
          <w:sz w:val="20"/>
          <w:szCs w:val="20"/>
        </w:rPr>
        <w:t>14.  Harch PG. Hyperbaric oxygen in chronic traumatic brain injury: oxygen, pressure, and gene therapy. Med Gas Res. 2015;5:9. PMID: 26171141. DOI: 10.1186/s13618-015-0030-6.</w:t>
      </w:r>
    </w:p>
    <w:p w14:paraId="5808FA5F" w14:textId="77777777" w:rsidR="001A4A23" w:rsidRDefault="00000000">
      <w:pPr>
        <w:spacing w:after="80"/>
        <w:ind w:left="720"/>
      </w:pPr>
      <w:r>
        <w:rPr>
          <w:i/>
          <w:iCs/>
          <w:color w:val="333333"/>
          <w:sz w:val="18"/>
          <w:szCs w:val="18"/>
        </w:rPr>
        <w:t>Defines HBOT as a combined-pressure-and-oxygen, dose-dependent gene therapy for wounds of any age and location. Dominant actions: upregulation of trophic and anti-inflammatory genes; downregulation of apoptotic and pro-inflammatory genes. Explains conflicting TBI trial results as different doses rather than contradictory biology.</w:t>
      </w:r>
    </w:p>
    <w:p w14:paraId="6B79FDEE" w14:textId="77777777" w:rsidR="001A4A23" w:rsidRDefault="00000000">
      <w:pPr>
        <w:spacing w:before="140" w:after="40"/>
        <w:ind w:left="720" w:hanging="720"/>
      </w:pPr>
      <w:r>
        <w:rPr>
          <w:sz w:val="20"/>
          <w:szCs w:val="20"/>
        </w:rPr>
        <w:t>15.  Efrati S, Fishlev G, Bechor Y, Volkov O, Bergan J, Kliakhandler K, et al. Hyperbaric oxygen induces late neuroplasticity in post stroke patients—randomized, prospective trial. PLoS One. 2013;8(1):e53716. PMID: 23335971. DOI: 10.1371/journal.pone.0053716.</w:t>
      </w:r>
    </w:p>
    <w:p w14:paraId="420F711F" w14:textId="77777777" w:rsidR="001A4A23" w:rsidRDefault="00000000">
      <w:pPr>
        <w:spacing w:after="80"/>
        <w:ind w:left="720"/>
      </w:pPr>
      <w:r>
        <w:rPr>
          <w:i/>
          <w:iCs/>
          <w:color w:val="333333"/>
          <w:sz w:val="18"/>
          <w:szCs w:val="18"/>
        </w:rPr>
        <w:t>Forty sessions at 2 ATA. SPECT activity rose in CT-intact, metabolically silent cortex (anatomy/physiology mismatch). Clinical gains tracked the mismatch. Foundational human demonstration that chronically stunned brain tissue remains a treatable wound.</w:t>
      </w:r>
    </w:p>
    <w:p w14:paraId="65738E32" w14:textId="77777777" w:rsidR="001A4A23" w:rsidRDefault="00000000">
      <w:pPr>
        <w:spacing w:before="140" w:after="40"/>
        <w:ind w:left="720" w:hanging="720"/>
      </w:pPr>
      <w:r>
        <w:rPr>
          <w:sz w:val="20"/>
          <w:szCs w:val="20"/>
        </w:rPr>
        <w:t>16.  Boussi-Gross R, Golan H, Fishlev G, Bechor Y, Volkov O, Bergan J, et al. Hyperbaric oxygen therapy can improve post concussion syndrome years after mild traumatic brain injury—randomized prospective trial. PLoS One. 2013;8(11):e79995. PMID: 24260334. DOI: 10.1371/journal.pone.0079995.</w:t>
      </w:r>
    </w:p>
    <w:p w14:paraId="1D230F80" w14:textId="77777777" w:rsidR="001A4A23" w:rsidRDefault="00000000">
      <w:pPr>
        <w:spacing w:after="80"/>
        <w:ind w:left="720"/>
      </w:pPr>
      <w:r>
        <w:rPr>
          <w:i/>
          <w:iCs/>
          <w:color w:val="333333"/>
          <w:sz w:val="18"/>
          <w:szCs w:val="18"/>
        </w:rPr>
        <w:t>Chronic mTBI/PCS one to five years after injury. Cognitive and quality-of-life gains occurred after HBOT, not after the control interval. SPECT improvements co-localized with the cognitive map.</w:t>
      </w:r>
    </w:p>
    <w:p w14:paraId="65165439" w14:textId="77777777" w:rsidR="001A4A23" w:rsidRDefault="00000000">
      <w:pPr>
        <w:spacing w:before="140" w:after="40"/>
        <w:ind w:left="720" w:hanging="720"/>
      </w:pPr>
      <w:r>
        <w:rPr>
          <w:sz w:val="20"/>
          <w:szCs w:val="20"/>
        </w:rPr>
        <w:t>17.  Tal S, Hadanny A, Sasson E, Suzin G, Efrati S. Hyperbaric oxygen therapy can induce angiogenesis and regeneration of nerve fibers in traumatic brain injury patients. Front Hum Neurosci. 2017;11:508. PMID: 29097988. DOI: 10.3389/fnhum.2017.00508.</w:t>
      </w:r>
    </w:p>
    <w:p w14:paraId="24AA0DCA" w14:textId="77777777" w:rsidR="001A4A23" w:rsidRDefault="00000000">
      <w:pPr>
        <w:spacing w:after="80"/>
        <w:ind w:left="720"/>
      </w:pPr>
      <w:r>
        <w:rPr>
          <w:i/>
          <w:iCs/>
          <w:color w:val="333333"/>
          <w:sz w:val="18"/>
          <w:szCs w:val="18"/>
        </w:rPr>
        <w:t>DTI showed increased fractional anisotropy and decreased mean diffusivity; DSC-MRI showed increased CBF and CBV, months to 27 years after injury. Closest available human surrogate for angiogenesis and axonal repair.</w:t>
      </w:r>
    </w:p>
    <w:p w14:paraId="2ADFB442" w14:textId="77777777" w:rsidR="001A4A23" w:rsidRDefault="00000000">
      <w:pPr>
        <w:spacing w:before="140" w:after="40"/>
        <w:ind w:left="720" w:hanging="720"/>
      </w:pPr>
      <w:r>
        <w:rPr>
          <w:sz w:val="20"/>
          <w:szCs w:val="20"/>
        </w:rPr>
        <w:lastRenderedPageBreak/>
        <w:t>18.  Harch PG, Andrews SR, Fogarty EF, Amen D, Pezzullo JC, Lucarini J, et al. A phase I study of low-pressure hyperbaric oxygen therapy for blast-induced post-concussion syndrome and post-traumatic stress disorder. J Neurotrauma. 2012;29(1):168-85. PMID: 22026588. DOI: 10.1089/neu.2011.1895.</w:t>
      </w:r>
    </w:p>
    <w:p w14:paraId="63131274" w14:textId="77777777" w:rsidR="001A4A23" w:rsidRDefault="00000000">
      <w:pPr>
        <w:spacing w:after="80"/>
        <w:ind w:left="720"/>
      </w:pPr>
      <w:r>
        <w:rPr>
          <w:i/>
          <w:iCs/>
          <w:color w:val="333333"/>
          <w:sz w:val="18"/>
          <w:szCs w:val="18"/>
        </w:rPr>
        <w:t>Forty sessions at 1.5 ATA/60 minutes. Full-scale IQ rose 14.8 points; Rivermead PCSQ, PCL-M, and PHQ-9 improved. SPECT coefficient of variation fell in white matter—the primary wound compartment in blast mTBI.</w:t>
      </w:r>
    </w:p>
    <w:p w14:paraId="6DB7DB1B" w14:textId="77777777" w:rsidR="001A4A23" w:rsidRDefault="00000000">
      <w:pPr>
        <w:spacing w:before="140" w:after="40"/>
        <w:ind w:left="720" w:hanging="720"/>
      </w:pPr>
      <w:r>
        <w:rPr>
          <w:sz w:val="20"/>
          <w:szCs w:val="20"/>
        </w:rPr>
        <w:t>19.  Harch PG, Fogarty EF, Staab PK, Van Meter K. Low pressure hyperbaric oxygen therapy and SPECT brain imaging in the treatment of blast-induced chronic traumatic brain injury (post-concussion syndrome) and post traumatic stress disorder: a case report. Cases J. 2009;2:6538. PMID: 19829822. DOI: 10.1186/1757-1626-2-6538.</w:t>
      </w:r>
    </w:p>
    <w:p w14:paraId="415D9B63" w14:textId="77777777" w:rsidR="001A4A23" w:rsidRDefault="00000000">
      <w:pPr>
        <w:spacing w:after="80"/>
        <w:ind w:left="720"/>
      </w:pPr>
      <w:r>
        <w:rPr>
          <w:i/>
          <w:iCs/>
          <w:color w:val="333333"/>
          <w:sz w:val="18"/>
          <w:szCs w:val="18"/>
        </w:rPr>
        <w:t>Template SPECT case: heterogeneous frontal-temporal hypoperfusion became more homogeneous after 39 sessions at 1.5 ATA, with concurrent clinical recovery.</w:t>
      </w:r>
    </w:p>
    <w:p w14:paraId="3F1EF31E" w14:textId="77777777" w:rsidR="001A4A23" w:rsidRDefault="00000000">
      <w:pPr>
        <w:spacing w:before="140" w:after="40"/>
        <w:ind w:left="720" w:hanging="720"/>
      </w:pPr>
      <w:r>
        <w:rPr>
          <w:sz w:val="20"/>
          <w:szCs w:val="20"/>
          <w:lang w:val="da-DK"/>
        </w:rPr>
        <w:t>20.  Hu Q, Liang X, Chen D, et al. Delayed hyperbaric oxygen therapy promotes neurogenesis through reactive oxygen species/hypoxia-inducible factor-1</w:t>
      </w:r>
      <w:r>
        <w:rPr>
          <w:sz w:val="20"/>
          <w:szCs w:val="20"/>
        </w:rPr>
        <w:t>α</w:t>
      </w:r>
      <w:r>
        <w:rPr>
          <w:sz w:val="20"/>
          <w:szCs w:val="20"/>
          <w:lang w:val="da-DK"/>
        </w:rPr>
        <w:t>/</w:t>
      </w:r>
      <w:r>
        <w:rPr>
          <w:sz w:val="20"/>
          <w:szCs w:val="20"/>
        </w:rPr>
        <w:t>β</w:t>
      </w:r>
      <w:r>
        <w:rPr>
          <w:sz w:val="20"/>
          <w:szCs w:val="20"/>
          <w:lang w:val="da-DK"/>
        </w:rPr>
        <w:t xml:space="preserve">-catenin pathway in middle cerebral artery occlusion rats. </w:t>
      </w:r>
      <w:r>
        <w:rPr>
          <w:sz w:val="20"/>
          <w:szCs w:val="20"/>
        </w:rPr>
        <w:t>Stroke. 2014;45(6):1807-14. PMID: 24757103.</w:t>
      </w:r>
    </w:p>
    <w:p w14:paraId="21618AAF" w14:textId="77777777" w:rsidR="001A4A23" w:rsidRDefault="00000000">
      <w:pPr>
        <w:spacing w:after="80"/>
        <w:ind w:left="720"/>
      </w:pPr>
      <w:r>
        <w:rPr>
          <w:i/>
          <w:iCs/>
          <w:color w:val="333333"/>
          <w:sz w:val="18"/>
          <w:szCs w:val="18"/>
        </w:rPr>
        <w:t>Preclinical source paper for the ROS/HIF-1α/β-catenin neurogenesis pathway subsequently invoked in human imaging studies.</w:t>
      </w:r>
    </w:p>
    <w:p w14:paraId="36122BAC" w14:textId="77777777" w:rsidR="001A4A23" w:rsidRDefault="00000000">
      <w:pPr>
        <w:pStyle w:val="Heading2"/>
      </w:pPr>
      <w:r>
        <w:t>E. Senolytic Overlay</w:t>
      </w:r>
    </w:p>
    <w:p w14:paraId="722245FD" w14:textId="77777777" w:rsidR="001A4A23" w:rsidRDefault="00000000">
      <w:pPr>
        <w:spacing w:before="140" w:after="40"/>
        <w:ind w:left="720" w:hanging="720"/>
      </w:pPr>
      <w:r>
        <w:rPr>
          <w:sz w:val="20"/>
          <w:szCs w:val="20"/>
        </w:rPr>
        <w:t>21.  Hachmo Y, Hadanny A, Abu Hamed R, Daniel-Kotovsky M, Catalogna M, Fishlev G, et al. Hyperbaric oxygen therapy increases telomere length and decreases immunosenescence in isolated blood cells: a prospective trial. Aging (Albany NY). 2020;12(22):22445-56. PMID: 33206062. DOI: 10.18632/aging.202188.</w:t>
      </w:r>
    </w:p>
    <w:p w14:paraId="27E3F951" w14:textId="77777777" w:rsidR="001A4A23" w:rsidRDefault="00000000">
      <w:pPr>
        <w:spacing w:after="80"/>
        <w:ind w:left="720"/>
      </w:pPr>
      <w:r>
        <w:rPr>
          <w:i/>
          <w:iCs/>
          <w:color w:val="333333"/>
          <w:sz w:val="18"/>
          <w:szCs w:val="18"/>
        </w:rPr>
        <w:t>Sixty sessions in independently living adults aged 64 and older. PBMC telomere length increased more than 20% (B cells +38%). Senescent T-helper cells fell 37%; senescent T-cytotoxic cells fell 11%. Supports an anti-senolytic contribution in chronic neurovascular wounds.</w:t>
      </w:r>
    </w:p>
    <w:p w14:paraId="6FE05C62" w14:textId="77777777" w:rsidR="001A4A23" w:rsidRDefault="00000000">
      <w:pPr>
        <w:pStyle w:val="Heading2"/>
      </w:pPr>
      <w:r>
        <w:t>F. Condition-Specific Brain-Wound Analogs</w:t>
      </w:r>
    </w:p>
    <w:p w14:paraId="0D451224" w14:textId="77777777" w:rsidR="001A4A23" w:rsidRDefault="00000000">
      <w:pPr>
        <w:spacing w:before="140" w:after="40"/>
        <w:ind w:left="720" w:hanging="720"/>
      </w:pPr>
      <w:r>
        <w:rPr>
          <w:sz w:val="20"/>
          <w:szCs w:val="20"/>
        </w:rPr>
        <w:t>22.  Mitchell SJ, Bennett MH, Moon RE. Decompression sickness and arterial gas embolism. N Engl J Med. 2022;386(13):1254-64. See also: Mitchell SJ et al. Decompression illness: a comprehensive overview. Diving Hyperb Med / related reviews, PMC11168797.</w:t>
      </w:r>
    </w:p>
    <w:p w14:paraId="2DD5B058" w14:textId="77777777" w:rsidR="001A4A23" w:rsidRDefault="00000000">
      <w:pPr>
        <w:spacing w:after="80"/>
        <w:ind w:left="720"/>
      </w:pPr>
      <w:r>
        <w:rPr>
          <w:i/>
          <w:iCs/>
          <w:color w:val="333333"/>
          <w:sz w:val="18"/>
          <w:szCs w:val="18"/>
        </w:rPr>
        <w:t>Type II neurologic DCS is a multifocal microvascular brain and spinal wound: bubbles produce transient ischemia, endothelial injury, blood-brain-barrier leak, leukocyte activation, and impaired cerebral vasoreactivity. HBOT both collapses and dissolves inert-gas bubbles and applies the same anti-inflammatory and oxygenation cascade used for CO and crush injury.</w:t>
      </w:r>
    </w:p>
    <w:p w14:paraId="79DADB75" w14:textId="77777777" w:rsidR="001A4A23" w:rsidRDefault="00000000">
      <w:pPr>
        <w:spacing w:before="140" w:after="40"/>
        <w:ind w:left="720" w:hanging="720"/>
      </w:pPr>
      <w:r>
        <w:rPr>
          <w:sz w:val="20"/>
          <w:szCs w:val="20"/>
        </w:rPr>
        <w:t>23.  Li M, et al. Hyperbaric oxygen preconditioning for prevention of acute high-altitude diseases: fact or fiction? Med Gas Res. PMC9905844.</w:t>
      </w:r>
    </w:p>
    <w:p w14:paraId="5C22203F" w14:textId="77777777" w:rsidR="001A4A23" w:rsidRDefault="00000000">
      <w:pPr>
        <w:spacing w:after="80"/>
        <w:ind w:left="720"/>
      </w:pPr>
      <w:r>
        <w:rPr>
          <w:i/>
          <w:iCs/>
          <w:color w:val="333333"/>
          <w:sz w:val="18"/>
          <w:szCs w:val="18"/>
        </w:rPr>
        <w:t>Proposed mechanisms for HBOT in AMS/HACE: blood-brain-barrier protection, reduced edema, anti-inflammation, HIF-target-gene induction, and increased antioxidant activity—the same list that applies to other hypoxic-ischemic brain wounds.</w:t>
      </w:r>
    </w:p>
    <w:p w14:paraId="243BFDC2" w14:textId="77777777" w:rsidR="001A4A23" w:rsidRDefault="00000000">
      <w:pPr>
        <w:spacing w:before="140" w:after="40"/>
        <w:ind w:left="720" w:hanging="720"/>
      </w:pPr>
      <w:r>
        <w:rPr>
          <w:sz w:val="20"/>
          <w:szCs w:val="20"/>
        </w:rPr>
        <w:t>24.  Hackett PH, Roach RC. High-altitude illness. N Engl J Med. 2001;345(2):107-14. PMID: 11450659. Complementary mechanistic reviews: Wilson MH, Newman S, Imray CH. The cerebral effects of ascent to high altitudes. Lancet Neurol. 2009;8(2):175-91.</w:t>
      </w:r>
    </w:p>
    <w:p w14:paraId="2C82D265" w14:textId="77777777" w:rsidR="001A4A23" w:rsidRDefault="00000000">
      <w:pPr>
        <w:spacing w:after="80"/>
        <w:ind w:left="720"/>
      </w:pPr>
      <w:r>
        <w:rPr>
          <w:i/>
          <w:iCs/>
          <w:color w:val="333333"/>
          <w:sz w:val="18"/>
          <w:szCs w:val="18"/>
        </w:rPr>
        <w:t>AMS and HACE as sequential cytotoxic then vasogenic edema driven by Na/K-ATPase failure, HIF-1α/VEGF barrier leak, and mitochondrial ROS. Immediate elevation of tissue PO2 reverses the energy-failure step that initiates the cascade.</w:t>
      </w:r>
    </w:p>
    <w:p w14:paraId="31CE3B24" w14:textId="77777777" w:rsidR="001A4A23" w:rsidRDefault="00000000">
      <w:pPr>
        <w:spacing w:before="140" w:after="40"/>
        <w:ind w:left="720" w:hanging="720"/>
      </w:pPr>
      <w:r>
        <w:rPr>
          <w:sz w:val="20"/>
          <w:szCs w:val="20"/>
        </w:rPr>
        <w:t>25.  Thom SR. Hyperbaric oxygen: its mechanisms and efficacy. Plast Reconstr Surg. 2011;127 Suppl 1:131S-141S. PMID: 21200283. DOI: 10.1097/PRS.0b013e3181fbe2bf.</w:t>
      </w:r>
    </w:p>
    <w:p w14:paraId="4FBFB4BC" w14:textId="77777777" w:rsidR="001A4A23" w:rsidRDefault="00000000">
      <w:pPr>
        <w:spacing w:after="80"/>
        <w:ind w:left="720"/>
      </w:pPr>
      <w:r>
        <w:rPr>
          <w:i/>
          <w:iCs/>
          <w:color w:val="333333"/>
          <w:sz w:val="18"/>
          <w:szCs w:val="18"/>
        </w:rPr>
        <w:t>Canonical wound-biology review. The molecular list accepted for diabetic foot ulcers, delayed radiation injury, and thermal burns—VEGF angiogenesis, stem-cell mobilization, reduced neutrophil adhesion, restored mitochondrial function, lower TNF-α/IL-6—is the same list documented in brain tissue.</w:t>
      </w:r>
    </w:p>
    <w:p w14:paraId="08857647" w14:textId="77777777" w:rsidR="001A4A23" w:rsidRDefault="001A4A23">
      <w:pPr>
        <w:pBdr>
          <w:top w:val="single" w:sz="6" w:space="8" w:color="1B365D"/>
        </w:pBdr>
        <w:spacing w:before="200"/>
      </w:pPr>
    </w:p>
    <w:sectPr w:rsidR="001A4A23">
      <w:headerReference w:type="default" r:id="rId9"/>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85E20" w14:textId="77777777" w:rsidR="00233880" w:rsidRDefault="00233880">
      <w:r>
        <w:separator/>
      </w:r>
    </w:p>
  </w:endnote>
  <w:endnote w:type="continuationSeparator" w:id="0">
    <w:p w14:paraId="110EE598" w14:textId="77777777" w:rsidR="00233880" w:rsidRDefault="00233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7A33" w14:textId="77777777" w:rsidR="001A4A23" w:rsidRDefault="00000000">
    <w:pPr>
      <w:pBdr>
        <w:top w:val="single" w:sz="6" w:space="1" w:color="1B365D"/>
      </w:pBdr>
      <w:spacing w:before="120"/>
    </w:pPr>
    <w:r>
      <w:rPr>
        <w:color w:val="666666"/>
        <w:sz w:val="16"/>
        <w:szCs w:val="16"/>
      </w:rPr>
      <w:t xml:space="preserve">Prepared </w:t>
    </w:r>
    <w:r w:rsidR="00A642FD">
      <w:rPr>
        <w:color w:val="666666"/>
        <w:sz w:val="16"/>
        <w:szCs w:val="16"/>
      </w:rPr>
      <w:t>by</w:t>
    </w:r>
    <w:r>
      <w:rPr>
        <w:color w:val="666666"/>
        <w:sz w:val="16"/>
        <w:szCs w:val="16"/>
      </w:rPr>
      <w:t xml:space="preserve"> Kenneth Stoller, </w:t>
    </w:r>
    <w:proofErr w:type="gramStart"/>
    <w:r>
      <w:rPr>
        <w:color w:val="666666"/>
        <w:sz w:val="16"/>
        <w:szCs w:val="16"/>
      </w:rPr>
      <w:t>MD  ·</w:t>
    </w:r>
    <w:proofErr w:type="gramEnd"/>
    <w:r>
      <w:rPr>
        <w:color w:val="666666"/>
        <w:sz w:val="16"/>
        <w:szCs w:val="16"/>
      </w:rPr>
      <w:t xml:space="preserve">  Not for regulatory submission </w:t>
    </w:r>
    <w:proofErr w:type="gramStart"/>
    <w:r>
      <w:rPr>
        <w:color w:val="666666"/>
        <w:sz w:val="16"/>
        <w:szCs w:val="16"/>
      </w:rPr>
      <w:t>·  Page</w:t>
    </w:r>
    <w:proofErr w:type="gramEnd"/>
    <w:r>
      <w:rPr>
        <w:color w:val="666666"/>
        <w:sz w:val="16"/>
        <w:szCs w:val="16"/>
      </w:rPr>
      <w:t xml:space="preserve"> </w:t>
    </w:r>
    <w:r>
      <w:rPr>
        <w:color w:val="666666"/>
        <w:sz w:val="16"/>
        <w:szCs w:val="16"/>
      </w:rPr>
      <w:fldChar w:fldCharType="begin"/>
    </w:r>
    <w:r>
      <w:rPr>
        <w:color w:val="666666"/>
        <w:sz w:val="16"/>
        <w:szCs w:val="16"/>
      </w:rPr>
      <w:instrText>PAGE</w:instrText>
    </w:r>
    <w:r>
      <w:rPr>
        <w:color w:val="666666"/>
        <w:sz w:val="16"/>
        <w:szCs w:val="16"/>
      </w:rPr>
      <w:fldChar w:fldCharType="separate"/>
    </w:r>
    <w:r w:rsidR="00A642FD">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A642FD">
      <w:rPr>
        <w:noProof/>
        <w:color w:val="666666"/>
        <w:sz w:val="16"/>
        <w:szCs w:val="16"/>
      </w:rPr>
      <w:t>2</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C4400" w14:textId="77777777" w:rsidR="00233880" w:rsidRDefault="00233880">
      <w:r>
        <w:separator/>
      </w:r>
    </w:p>
  </w:footnote>
  <w:footnote w:type="continuationSeparator" w:id="0">
    <w:p w14:paraId="0B0740C5" w14:textId="77777777" w:rsidR="00233880" w:rsidRDefault="00233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C2F7" w14:textId="77777777" w:rsidR="001A4A23" w:rsidRDefault="00000000">
    <w:pPr>
      <w:pBdr>
        <w:bottom w:val="single" w:sz="6" w:space="1" w:color="1B365D"/>
      </w:pBdr>
      <w:spacing w:after="200"/>
    </w:pPr>
    <w:r>
      <w:rPr>
        <w:b/>
        <w:bCs/>
        <w:color w:val="1B365D"/>
        <w:sz w:val="16"/>
        <w:szCs w:val="16"/>
      </w:rPr>
      <w:t xml:space="preserve">HBOT AND BRAIN </w:t>
    </w:r>
    <w:proofErr w:type="gramStart"/>
    <w:r>
      <w:rPr>
        <w:b/>
        <w:bCs/>
        <w:color w:val="1B365D"/>
        <w:sz w:val="16"/>
        <w:szCs w:val="16"/>
      </w:rPr>
      <w:t>WOUNDS</w:t>
    </w:r>
    <w:r>
      <w:rPr>
        <w:color w:val="888888"/>
        <w:sz w:val="16"/>
        <w:szCs w:val="16"/>
      </w:rPr>
      <w:t xml:space="preserve">  ·</w:t>
    </w:r>
    <w:proofErr w:type="gramEnd"/>
    <w:r>
      <w:rPr>
        <w:color w:val="888888"/>
        <w:sz w:val="16"/>
        <w:szCs w:val="16"/>
      </w:rPr>
      <w:t xml:space="preserve">  </w:t>
    </w:r>
    <w:r>
      <w:rPr>
        <w:color w:val="2E5A6C"/>
        <w:sz w:val="16"/>
        <w:szCs w:val="16"/>
      </w:rPr>
      <w:t>Evidence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45D89"/>
    <w:multiLevelType w:val="hybridMultilevel"/>
    <w:tmpl w:val="1A3AAB04"/>
    <w:lvl w:ilvl="0" w:tplc="4D926C14">
      <w:start w:val="1"/>
      <w:numFmt w:val="bullet"/>
      <w:lvlText w:val="•"/>
      <w:lvlJc w:val="left"/>
      <w:pPr>
        <w:ind w:left="720" w:hanging="360"/>
      </w:pPr>
    </w:lvl>
    <w:lvl w:ilvl="1" w:tplc="B3B01866">
      <w:numFmt w:val="decimal"/>
      <w:lvlText w:val=""/>
      <w:lvlJc w:val="left"/>
    </w:lvl>
    <w:lvl w:ilvl="2" w:tplc="5CA239CA">
      <w:numFmt w:val="decimal"/>
      <w:lvlText w:val=""/>
      <w:lvlJc w:val="left"/>
    </w:lvl>
    <w:lvl w:ilvl="3" w:tplc="5C32809E">
      <w:numFmt w:val="decimal"/>
      <w:lvlText w:val=""/>
      <w:lvlJc w:val="left"/>
    </w:lvl>
    <w:lvl w:ilvl="4" w:tplc="9390845E">
      <w:numFmt w:val="decimal"/>
      <w:lvlText w:val=""/>
      <w:lvlJc w:val="left"/>
    </w:lvl>
    <w:lvl w:ilvl="5" w:tplc="A3DEEB8E">
      <w:numFmt w:val="decimal"/>
      <w:lvlText w:val=""/>
      <w:lvlJc w:val="left"/>
    </w:lvl>
    <w:lvl w:ilvl="6" w:tplc="64905194">
      <w:numFmt w:val="decimal"/>
      <w:lvlText w:val=""/>
      <w:lvlJc w:val="left"/>
    </w:lvl>
    <w:lvl w:ilvl="7" w:tplc="E9E69FDC">
      <w:numFmt w:val="decimal"/>
      <w:lvlText w:val=""/>
      <w:lvlJc w:val="left"/>
    </w:lvl>
    <w:lvl w:ilvl="8" w:tplc="36FE315A">
      <w:numFmt w:val="decimal"/>
      <w:lvlText w:val=""/>
      <w:lvlJc w:val="left"/>
    </w:lvl>
  </w:abstractNum>
  <w:abstractNum w:abstractNumId="1" w15:restartNumberingAfterBreak="0">
    <w:nsid w:val="65CD3588"/>
    <w:multiLevelType w:val="hybridMultilevel"/>
    <w:tmpl w:val="BBB0D700"/>
    <w:lvl w:ilvl="0" w:tplc="BDCCAACE">
      <w:start w:val="1"/>
      <w:numFmt w:val="bullet"/>
      <w:lvlText w:val="●"/>
      <w:lvlJc w:val="left"/>
      <w:pPr>
        <w:ind w:left="720" w:hanging="360"/>
      </w:pPr>
    </w:lvl>
    <w:lvl w:ilvl="1" w:tplc="30B05714">
      <w:start w:val="1"/>
      <w:numFmt w:val="bullet"/>
      <w:lvlText w:val="○"/>
      <w:lvlJc w:val="left"/>
      <w:pPr>
        <w:ind w:left="1440" w:hanging="360"/>
      </w:pPr>
    </w:lvl>
    <w:lvl w:ilvl="2" w:tplc="04941FE4">
      <w:start w:val="1"/>
      <w:numFmt w:val="bullet"/>
      <w:lvlText w:val="■"/>
      <w:lvlJc w:val="left"/>
      <w:pPr>
        <w:ind w:left="2160" w:hanging="360"/>
      </w:pPr>
    </w:lvl>
    <w:lvl w:ilvl="3" w:tplc="F3C6B82A">
      <w:start w:val="1"/>
      <w:numFmt w:val="bullet"/>
      <w:lvlText w:val="●"/>
      <w:lvlJc w:val="left"/>
      <w:pPr>
        <w:ind w:left="2880" w:hanging="360"/>
      </w:pPr>
    </w:lvl>
    <w:lvl w:ilvl="4" w:tplc="C77ED9CA">
      <w:start w:val="1"/>
      <w:numFmt w:val="bullet"/>
      <w:lvlText w:val="○"/>
      <w:lvlJc w:val="left"/>
      <w:pPr>
        <w:ind w:left="3600" w:hanging="360"/>
      </w:pPr>
    </w:lvl>
    <w:lvl w:ilvl="5" w:tplc="A378DB7A">
      <w:start w:val="1"/>
      <w:numFmt w:val="bullet"/>
      <w:lvlText w:val="■"/>
      <w:lvlJc w:val="left"/>
      <w:pPr>
        <w:ind w:left="4320" w:hanging="360"/>
      </w:pPr>
    </w:lvl>
    <w:lvl w:ilvl="6" w:tplc="94587720">
      <w:start w:val="1"/>
      <w:numFmt w:val="bullet"/>
      <w:lvlText w:val="●"/>
      <w:lvlJc w:val="left"/>
      <w:pPr>
        <w:ind w:left="5040" w:hanging="360"/>
      </w:pPr>
    </w:lvl>
    <w:lvl w:ilvl="7" w:tplc="A1A014E4">
      <w:start w:val="1"/>
      <w:numFmt w:val="bullet"/>
      <w:lvlText w:val="●"/>
      <w:lvlJc w:val="left"/>
      <w:pPr>
        <w:ind w:left="5760" w:hanging="360"/>
      </w:pPr>
    </w:lvl>
    <w:lvl w:ilvl="8" w:tplc="B274A804">
      <w:start w:val="1"/>
      <w:numFmt w:val="bullet"/>
      <w:lvlText w:val="●"/>
      <w:lvlJc w:val="left"/>
      <w:pPr>
        <w:ind w:left="6480" w:hanging="360"/>
      </w:pPr>
    </w:lvl>
  </w:abstractNum>
  <w:num w:numId="1" w16cid:durableId="1043215196">
    <w:abstractNumId w:val="1"/>
    <w:lvlOverride w:ilvl="0">
      <w:startOverride w:val="1"/>
    </w:lvlOverride>
  </w:num>
  <w:num w:numId="2" w16cid:durableId="858120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A23"/>
    <w:rsid w:val="00043262"/>
    <w:rsid w:val="001A4A23"/>
    <w:rsid w:val="00233880"/>
    <w:rsid w:val="00264EFF"/>
    <w:rsid w:val="004E0DC1"/>
    <w:rsid w:val="004F2A75"/>
    <w:rsid w:val="00786C97"/>
    <w:rsid w:val="009669D4"/>
    <w:rsid w:val="009A042D"/>
    <w:rsid w:val="009E4370"/>
    <w:rsid w:val="00A642FD"/>
    <w:rsid w:val="00B363A0"/>
    <w:rsid w:val="00C26620"/>
    <w:rsid w:val="00C41F9B"/>
    <w:rsid w:val="00C672DF"/>
    <w:rsid w:val="00C9149C"/>
    <w:rsid w:val="00D534F2"/>
    <w:rsid w:val="00DC63E2"/>
    <w:rsid w:val="00FF5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192A5"/>
  <w15:docId w15:val="{E358FCB9-0A7E-B943-B516-DA52A425B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B365D"/>
      <w:sz w:val="28"/>
      <w:szCs w:val="28"/>
    </w:rPr>
  </w:style>
  <w:style w:type="paragraph" w:styleId="Heading2">
    <w:name w:val="heading 2"/>
    <w:uiPriority w:val="9"/>
    <w:unhideWhenUsed/>
    <w:qFormat/>
    <w:pPr>
      <w:spacing w:before="240" w:after="80"/>
      <w:outlineLvl w:val="1"/>
    </w:pPr>
    <w:rPr>
      <w:b/>
      <w:bCs/>
      <w:color w:val="2E5A6C"/>
      <w:sz w:val="24"/>
      <w:szCs w:val="24"/>
    </w:rPr>
  </w:style>
  <w:style w:type="paragraph" w:styleId="Heading3">
    <w:name w:val="heading 3"/>
    <w:uiPriority w:val="9"/>
    <w:unhideWhenUsed/>
    <w:qFormat/>
    <w:pPr>
      <w:spacing w:before="180" w:after="60"/>
      <w:outlineLvl w:val="2"/>
    </w:pPr>
    <w:rPr>
      <w:b/>
      <w:bCs/>
      <w:color w:val="1B365D"/>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642FD"/>
    <w:pPr>
      <w:tabs>
        <w:tab w:val="center" w:pos="4680"/>
        <w:tab w:val="right" w:pos="9360"/>
      </w:tabs>
    </w:pPr>
  </w:style>
  <w:style w:type="character" w:customStyle="1" w:styleId="HeaderChar">
    <w:name w:val="Header Char"/>
    <w:basedOn w:val="DefaultParagraphFont"/>
    <w:link w:val="Header"/>
    <w:uiPriority w:val="99"/>
    <w:rsid w:val="00A642FD"/>
  </w:style>
  <w:style w:type="paragraph" w:styleId="Footer">
    <w:name w:val="footer"/>
    <w:basedOn w:val="Normal"/>
    <w:link w:val="FooterChar"/>
    <w:uiPriority w:val="99"/>
    <w:unhideWhenUsed/>
    <w:rsid w:val="00A642FD"/>
    <w:pPr>
      <w:tabs>
        <w:tab w:val="center" w:pos="4680"/>
        <w:tab w:val="right" w:pos="9360"/>
      </w:tabs>
    </w:pPr>
  </w:style>
  <w:style w:type="character" w:customStyle="1" w:styleId="FooterChar">
    <w:name w:val="Footer Char"/>
    <w:basedOn w:val="DefaultParagraphFont"/>
    <w:link w:val="Footer"/>
    <w:uiPriority w:val="99"/>
    <w:rsid w:val="00A64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4440</Words>
  <Characters>25310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Robert Beckman</cp:lastModifiedBy>
  <cp:revision>4</cp:revision>
  <dcterms:created xsi:type="dcterms:W3CDTF">2026-09-29T19:01:00Z</dcterms:created>
  <dcterms:modified xsi:type="dcterms:W3CDTF">2026-09-29T19:25:00Z</dcterms:modified>
</cp:coreProperties>
</file>